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izziņā un anotācijā nav sniegts skaidrojums, kāda veida vienkāršotās izmaksas tiks piemērotas personāla izmaksām, lūdzam anotācijā skaidrot, kāda veida vienkāršotās izmaksas tiks piemērotas projekta vadības un īstenošanas personāla atlīdzības izmaksām, lai būtu iespējams izvērtēt noteikumu projekta 20.2.2., 20.2.5. un 20.2.6. apakšpunktā minēto izmaksu, kam ir paredzēta saistība ar projekta vadības un īstenošanas personāla noslodzi projektā,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20.2.3.1. ārvalstu komandējumu izmaksas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noteikto darbību ieviešanai attiecināmas finansējuma saņēmēja vadības un īstenošanas personālam saskaņā ar normatīvajiem aktiem par kārtību, kādā atlīdzināmi ar komandējumiem un darbinieku darba braucieniem saistītie izdevumi un vadošās iestādes izstrādātajām vadlīnijām "Vadlīnijas attiecināmo izmaksu noteikšanai Eiropas Savienības kohēzijas politikas programmas 2021.-2027.gada plānošanas periodā";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sniegtajam iebildumam, kā arī anotācijā veiktajiem precizējumiem, lūdzam salāgot MK noteikumu projekta redakciju ar anotācijā norādīto, proti, ka ārvalstu komandējumu izmaksas ir attiecināmas projekta vadītājam, nevis projekta vadības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izmaksas mācību pasākumu, semināru, darba grupu un konferenču organizēšanai un īstenošanai, tai skaitā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un datortehnikas nomas izmaksas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20.2.7.apakšpunkta atsauci uz noteikumu 18.7.apakšpunktu, jo 20.2.7.apakšpunktā minētās izmaksas nav saistāmas ar projekta vadības un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20.2.14. citas izmaksas, kas nepieciešamas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īstenošanai un kuru izlietošanu pirms izdevumu veikšanas finansējuma saņēmējs saskaņo ar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24.punktā ir norādīti neparedzētie izdevumi un anotācijā nav skaidrota nepieciešamība pēc vēl citām izmaksām, lūdzam svītrot 20.2.14.apakšpunktu.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punktā "Pašreizējā situācija, problēmas un risinājumi, risinājuma apraksts" sniegto informāciju, ka projektā sasniegto rezultātu ilgtspēju pēc projekta noslēguma plānots nodrošināt no valsts budžeta līdzekļiem, lūdzam papildināt šo sadaļu, norādot konkrētu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MK noteikumu projekta 20.2.1. apakšpunktā noteiktajam, izmaksas šo noteikumu 18.1., 18.2., 18.3. un 18.5. apakšpunktā minēto atbalstāmo darbību īstenošanai tiks attiecinātas atbilstoši atbildīgās iestādes apstiprinātajai vienkāršoto izmaksu metodikai, kas saskaņota ar vadošo iestādi, savukārt anotācijā norādīta informācija, ka, piemēram, 18.1.1.; 18.3. un 18.5. apakšpunktos plānoti iepirkumi (minētais gan nav šķērslis vienkāršoto izmaksu piemērošanai, taču nav īsti saprotams, vai šajā gadījumā MK noteikumu autors nav paredzējis šīs izmaksas attiecināt kā faktiskās), 18.1.2. apakšpunktam paredzētas t.sk. faktiskās izmaksas, līdz ar to anotācijā sniegtā informācija ir pretrunā MK noteikumos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redakcionāli pārskatīt anotācijā iekļautos papildinājumus par piemērojamām izmaksu metodēm, proti, budžeta projekts ir vienkāršoto izmaksu aprēķina metode, nevis vienkāršoto izmaksu veids, tāpat arī aicinām precizēt, kā paredzēts attiecināt izmaksas, kas tiks iepirktas (iepirkumi), proti kā faktiskās vai kā vienkāršotās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dzēst tekstu: “Vienlaikus saskaņā ar Biedrību un nodibinājumu likuma 2.panta pirmajā daļā noteikto biedrība ir brīvprātīga personu apvienība, kas nodibināta, lai sasniegtu statūtos noteikto mērķi, kam nav pelņas gūšanas rakstura”. Vēršam uzmanību, ka arī biedrības un nodibinājumi var būt iesaistīti preču un pakalpojumu piedāvāšanā. Uz to ir arī norādījusi Eiropas Savienības Tiesa (skatīt Tiesas 1987. gada 16. jūnija sprieduma Komisija/Itālija, 118/85, ECLI:EU:C:1987:283, 7. punktu; Tiesas 1998. gada 18. jūnija sprieduma Komisija/Itālija, C-35/96, ECLI:EU:C:1998:303, 36. punktu; Tiesas 2000. gada 12. septembra sprieduma Pavlov un citi, apvienotās lietas no C-180/98 līdz C-184/98, ECLI:EU:C:2000:428, 75. punktu), ka “uzņēmumi” (saimnieciskās darbības veicēji) konsekventi ir definējami kā subjekti, kas veic saimniecisko darbību, neatkarīgi no to juridiskā statusa un finansēšanas veida. Attiecīgā subjekta juridiskais statuss saskaņā ar valsts tiesību aktiem nav noteicošs. Piemēram, subjekts, kas saskaņā ar valsts tiesību aktiem klasificēts kā asociācija vai sporta klubs, Līguma par Eiropas savienību 107.panta 1.punkta nozīmē tomēr var būt uzskatāms par uzņēmumu. Vienīgais būtiskais kritērijs ir tas, vai subjekts veic saimniecisko darbību un valsts atbalsta noteikumu piemērošana nav atkarīga no tā, vai subjekts ir izveidots ar mērķi gūt peļņu. Arī bezpeļņas subjekti var veikt saimniecisko darbību, tirgū piedāvājot preces un pakalpojumus (skatīt Tiesas 1980. gada 29. oktobra sprieduma Van Landewyck, apvienotās lietas no 209/78 līdz 215/78 un 218/78, ECLI:EU:C:1980:248, 88. punktu; Tiesas 1995. gada 16. novembra sprieduma FFSA un citi, C-244/94, ECLI:EU:C:1995:392, 21. punktu; Tiesas 2008. gada 1. jūlija sprieduma MOTOE, C-49/07, ECLI:EU:C:2008:376, 27. un 28.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pamatojumu, ka aktivitātes ietvaros nozaru ekspertu padomes uzdevumi saistībā ar profesionālā satura attīstības nodrošināšanu atbilst Profesionālās izglītības likuma 12. pantam, lūdzam papildināt anotāciju ar izziņas 24.punktā ietverto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vai noteikumu projekta 20.apakšpunktā norādītas vienkāršoto izmaksu metodikas tiks apstiprinātas līdz atlases izsludināšanai. Attiecīgi lūdzam norādīt, ka gadījumā, ja līdz atlases izsludināšanai vienkāršoto izmaksu metodikas nebūs apstiprinātas, projekta iesniegumu atlasē netiks veikta izmaksu apmēra pamatotības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Boboviča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matemātiskas neprecizitātes anotācijas 3.sadaļas 6. apakšpunktā " Detalizēts ieņēmumu un izdevumu aprēķins ", ņemot vērā, ka summējot no 2023. līdz 2028.gadam norādīto indikatīvo ES finansējumu veidojas 8 839 648 euro un summējot valsts budžeta finansējuma apjomu veidojas 1 559 941 euro, kas nesakrīt ar noteikumu projekta 6.punktā norādīto, kā arī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nekavējoties informēt Ministru kabinetu, ja izmaksas, kas 4.2.2.9. pasākuma pirmajā kārtā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fiskāli neitrālu priekšlikumu/aprakstu situācijas risinājumam, lai turpinātu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risku izvērtējumu situācijai, ka izmaksas, kas 4.2.2.9. pasākuma pirmajā kārtā veiktas pirms projekta iesnieguma apstiprināšanas, varētu netikt vai netiek attiecinātas finansēšanai no Eiropas Sociālā fonda Plus.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8.Pasākuma pirmo kārtu īsteno ierobežotas projektu iesniegumu atlases veidā. Pasākuma pirmās kārtas ietvaros piemērojamais atbalsta veids ir grants.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I nodaļas nosaukumu, t.i., aizstājot vārdus "8.Pasākuma pirmo kārtu īsteno ierobežotas projektu iesniegumu atlases veidā. Pasākuma pirmās kārtas ietvaros piemērojamais atbalsta veids ir grants." ar vārdiem "Vispārīgie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un projekta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to, ka tiek noteikti nosacījumi arī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finansējuma saņēmēju, jo nodaļā noteiktas prasības arī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projekta iesnieguma apstiprināšanas finansējuma saņēmējs ar katru sadarbības partneri slēdz sadarbības līgumu atbilstoši normatīvajiem aktiem par kārtību, kādā Eiropas Savienības fondu vadībā iesaistītās institūcijas nodrošina šo fondu ieviešanu 2021.–2027. gada plānošanas periodā un sadarbības līgumā iekļauj vismaz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17.punktu, lai tajā ietvertais regulējums nedublē Ministru kabineta noteikumu "Kārtība, kādā Eiropas Savienības fondu vadībā iesaistītās institūcijas nodrošina šo fondu ieviešanu 2021.–2027.gada plānošanas periodā" (šobrīd saskaņošanas stadijā) 6.punktu, kas nosaka pamatinformāciju, kas jāiekļauj finansējuma saņēmēja un sadarbības partnera sadarbības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finansējuma saņēmēja projekta vadības vai īstenošanas personāls ir nodarbināts projektā uz darba līguma pamata. Ja projekta vadības vai īstenošanas personāls ir nodarbināts nepilnu darba laiku vai daļlaiku, jaunradītas darba vietas aprīkojuma iegādes vai nomas izmaksas ir attiecināmas proporcionāli darba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Finanšu ministrijas 2022.gada 25.augusta vadlīniju Nr. 1.2. "Vadlīnijas attiecināmo izmaksu noteikšanai Eiropas Savienības kohēzijas politikas programmas 2021.-2027.gada plānošanas periodā" 33.punktam, daļlaika izmaksu attiecināšanas principa gadījumā jāņem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MK noteikumu attiecīgo apakšpunktu, kā arī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darba braucienu un komandējumu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20.2.3.1. ārvalstu komandējumu izmaksas 18.1. un 18.2.apakšpunktā noteikto darbību ieviešanai attiecināmas finansējuma saņēmēja vadības un īstenošanas personālam saskaņā ar normatīvajiem aktiem par kārtību, kādā atlīdzināmi ar komandējumiem un darbinieku darba braucieniem saistītie izdevumi un vadošās iestādes izstrādātajām vadlīnijām "Vadlīnijas attiecināmo izmaksu noteikšanai Eiropas Savienības kohēzijas politikas programmas 2021.-2027.gada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 darba braucienu un iekšzemes komandējumu izmaksas finansējuma saņēmēja projekta vadības un īstenošanas personālam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20.2.3.1. un 20.2.3.2. apakšpunkti dublējas, lūdzam precizēt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20.2.3.1. ārvalstu komandējumu izmaksas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noteikto darbību ieviešanai attiecināmas finansējuma saņēmēja vadības un īstenošanas personālam saskaņā ar normatīvajiem aktiem par kārtību, kādā atlīdzināmi ar komandējumiem un darbinieku darba braucieniem saistītie izdevumi un vadošās iestādes izstrādātajām vadlīnijām "Vadlīnijas attiecināmo izmaksu noteikšanai Eiropas Savienības kohēzijas politikas programmas 2021.-2027.gada plānošanas periodā";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"šo noteikumu" pirms skaitļa "18.1."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20.2.11. uzņēmuma (tai skaitā, ar fiziskām un juridiskām personām) un piegādes līguma izmaksas šo noteikumu </w:t>
            </w:r>
            <w:r w:rsidR="00000000" w:rsidRPr="00000000" w:rsidDel="00000000">
              <w:rPr>
                <w:rtl w:val="0"/>
              </w:rPr>
              <w:t xml:space="preserve">18.1.</w:t>
            </w:r>
            <w:r w:rsidR="00000000" w:rsidRPr="00000000" w:rsidDel="00000000">
              <w:rPr>
                <w:shd w:fill="#ffffff" w:val="clea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atbalstāmo darbību īstenošanai, tai skaitā  digitālās platformas “Profesionālo kvalifikāciju sistēma” izstrādes, aprobācijas, pilnveides un uzturēšanas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20.2.11.apakšpunktu ar atsauci uz noteikumu 18.8.apakšpunktu.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Publiskos iepirkumus finansējuma saņēmējs un sadarbības partneri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iekļaut MK noteikumos prasību, ka finansējuma saņēmējs un sadarbības partneris pārliecinās par interešu konflikta ( ievērojot Eiropas Parlamenta un Padomes 2018. gada 18. jūlija regulas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61.pantā noteikto), krāpšanas un korupcijas risku neesamību, tai skaitā, īstenojot projektu, paraksta apliecinājumu par interešu konflikta neeasmību.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4.2.2.9.pasākuma pirmajā un otrajā kārtā nav plānots elastības finansējums, ierosinām anotācijā informāciju par finansējuma apmēru minētajās kārtās norādīt redakcijā "plānotais un 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w:t>
            </w:r>
            <w:r w:rsidR="00000000" w:rsidRPr="00000000" w:rsidDel="00000000">
              <w:rPr>
                <w:b w:val="1"/>
                <w:rtl w:val="0"/>
              </w:rPr>
              <w:t xml:space="preserve">un pieejamais </w:t>
            </w:r>
            <w:r w:rsidR="00000000" w:rsidRPr="00000000" w:rsidDel="00000000">
              <w:rPr>
                <w:rtl w:val="0"/>
              </w:rPr>
              <w:t xml:space="preserve">finansējums 10 399 589 euro (tai skaitā ESF Plus+ 8 839 650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Indikatīvi plānotais </w:t>
            </w:r>
            <w:r w:rsidR="00000000" w:rsidRPr="00000000" w:rsidDel="00000000">
              <w:rPr>
                <w:b w:val="1"/>
                <w:rtl w:val="0"/>
              </w:rPr>
              <w:t xml:space="preserve">un pieejamais </w:t>
            </w:r>
            <w:r w:rsidR="00000000" w:rsidRPr="00000000" w:rsidDel="00000000">
              <w:rPr>
                <w:rtl w:val="0"/>
              </w:rPr>
              <w:t xml:space="preserve">finansējums 3 850 000 euro (tai skaitā ESF Plus+ 3 272 500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norādot kārtību, kādā finansējuma saņēmējs ziņo par noteikumu projekta 5.punktā norādīto nacionālo rādītāju Kohēzijas politikas fondu vadības informācijas sistēmā (skat.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par nacionālo rādītāju finansējuma saņēmējs ievada Kohēzijas politikas fondu vadības informācijas sistēmā, iesniedzot maksājuma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22-TA-2838</w:t>
    </w:r>
    <w:r>
      <w:br/>
    </w:r>
    <w:r w:rsidR="00000000" w:rsidRPr="00000000" w:rsidDel="00000000">
      <w:rPr>
        <w:rtl w:val="0"/>
      </w:rPr>
      <w:t xml:space="preserve">Izdrukāts 09.05.2023.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22-TA-2838</w:t>
    </w:r>
    <w:r>
      <w:br/>
    </w:r>
    <w:r w:rsidR="00000000" w:rsidRPr="00000000" w:rsidDel="00000000">
      <w:rPr>
        <w:rtl w:val="0"/>
      </w:rPr>
      <w:t xml:space="preserve">Izdrukāts 09.05.2023.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Atzinumi_22-TA-2838.docx</dc:title>
</cp:coreProperties>
</file>

<file path=docProps/custom.xml><?xml version="1.0" encoding="utf-8"?>
<Properties xmlns="http://schemas.openxmlformats.org/officeDocument/2006/custom-properties" xmlns:vt="http://schemas.openxmlformats.org/officeDocument/2006/docPropsVTypes"/>
</file>