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punktu, kurš paredzētu finansējuma saņēmēja apbūves un īpašumtiesības uz konkrētajiem objektiem vai īpašumu, kurā plānots veikt ieguldījumus.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punktu, kurš paredzētu, ka maksājumu pieprasījumu un izdevumus, un sasniegto rādītāju pamatojošo dokumentu iesniedz KPVIS divas reizes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projektu ar informāciju attiecībā uz izdevumu attiecināmības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iesniegt arī MK noteikumu projekta un anotācijas tulkojumu angļu valodā priekš iesniegšanas saskaņošanai Eiropas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2.4.1.2.i. investīcija tiek īstenota visā Latvijas teritorijā un tās mērķis ir radīt reģionālās attīstības iespējas un stimulēt pieprasījumu pēc jauniem digitālajiem pakalpojumiem.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sadalīt investīcijas īstenošanas teritoriju un mērķi divos atsevišķos punktos.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2.4.1.2.i. investīciju īsteno līdz 2026. gada 31. augustam un tās ietvaros sasniedzami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līdz 2026.gada 31.augustam jābūt sasniegtiem ne tikai rādītajiem, bet arī pabeigtiem projektiem, veiktām pēdējām pārbaudēm un izmaksātam noslēguma maksājumam.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2.4.1.2.i. investīciju īsteno līdz 2026. gada 31. augustam un tās ietvaros sasniedzami rādītāji: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mērķiem, piemēram, līdz kuram jābūt gatavam normatīvajam regulējumam, līdz kuram datumam, jābūt veiktai atlasei un noslēgtiem līgumiem par projektu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2025. gada 31. decembrim 1500 tādu mājsaimniecību, uzņēmumu, skolu, slimnīcu un citu sabiedrisko ēku skaits, kam ir piekļuve platjoslas savienojumiem ar ļoti augstas veiktspējas tīklu (mērķrādītājs), tai skaitā, 300 Latgales plānošanas reģionā, 300 Vidzemes plānošanas reģionā, 300 Rīgas plānošanas reģionā, 300 Zemgales plānošanas reģionā, 300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mērķi (rādītāju) atbilstoši Atveseļošanas un noturības plāna pielikumā esošajai redakcijai, proti: "Mājsaimniecību, uzņēmumu, skolu, slimnīcu un citu publisko ēku skaits, kurām ir piekļuve platjoslas savienojumiem ar ļoti augstas veiktspējas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vārdu iekavās "mērķrādītājs" izteikt šādi: "</w:t>
            </w:r>
            <w:r w:rsidR="00000000" w:rsidRPr="00000000" w:rsidDel="00000000">
              <w:rPr>
                <w:rtl w:val="0"/>
              </w:rPr>
              <w:t xml:space="preserve">mērķis (rādītājs)".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digitālo dimensiju, ņemot vērā, ka 2.4.1.2.i. investīcija ir 100% vērsta uz digitālo mērķu sasniegšanu, un 2.4.1.2.i. investīcijas attiecināmās izmaksas ir tieši attiecināmas uz Digitālo dimensiju, kas noteikta </w:t>
            </w:r>
            <w:r w:rsidR="00000000" w:rsidRPr="00000000" w:rsidDel="00000000">
              <w:rPr>
                <w:rtl w:val="0"/>
              </w:rPr>
              <w:t xml:space="preserve">Eiropas Parlamenta un Padomes 2021. gada 12. februāra regulas Nr. 2021/241, ar ko izveido Atveseļošanas un noturības mehānismu</w:t>
            </w:r>
            <w:r w:rsidR="00000000" w:rsidRPr="00000000" w:rsidDel="00000000">
              <w:rPr>
                <w:rtl w:val="0"/>
              </w:rPr>
              <w:t xml:space="preserve">, 6.panta 2.punkta (b) daļas ii apakšpunktā.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atsauci uz regulas pantu, ņemot vērā, ka minētās regulas 6.pants neatrunā digitālo dimensiju.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avansa maksājumu ne vairāk kā 30% no projektā paredzētā Atveseļošanas fonda finansējuma apmēra saskaņā ar projektā noslēgto pakalpojumu, preču piegādes vai būvdarbu līgumiem. Atbalsta sniedzējs, pamatojoties uz finansējuma saņēmēja pieprasījumu un atbilstoši projekta finansēšanas plānam, avansa maksājumu var piešķirt vairākos maksājumos;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noteikuma projekta apakšpunktu ar avansa maksājuma saņemšanas nosacījumiem, t.i. sasaistot ar projekta sasniedzamajiem mērķiem un atskaites punktiem, kā arī ar nosacījumu, ka nākamo avansu var saņemt pēc tam, kad iepriekšējais ir apgūts pilnā apmērā, saskaņā ar Vadlīnijas informatīvā ziņojuma vai MK noteikumu izstrādei par Eiropas Savienības Atveseļošanas un noturības mehānisma plāna reformas vai investīcijas ieviešanu (turpmāk- Vadlīnijas) 70. un 71.punktu.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starpposma maksājumus proporcionāli šo noteikumu </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minētā investīcijas mērķa sasniegšanai;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kādā veidā tiks izmaksāts starpposma maksājums. Vēršam uzmanību, ka starpposma maksājumi tiek izmaksāti pamatojoties uz iesniegto maksājuma pieteikumu, kur norādīti attiecināmi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10.1.</w:t>
            </w:r>
            <w:r w:rsidR="00000000" w:rsidRPr="00000000" w:rsidDel="00000000">
              <w:rPr>
                <w:rtl w:val="0"/>
              </w:rPr>
              <w:t xml:space="preserve"> un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piešķirtā avansa un starpposma maksājumu summa nepārsniedz 90% no kopējā projekta investīcijas finansējuma. Finansējuma saņēmējs starpposma maksājumu var saņemt pēc tam, kad avansa maksājums vai starpposma maksājums ir ieguldīts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avansa maksājumus var piešķirt vairākos maksājumus, lūdzam papildināt noteikumu projekta 11.punktu ar vārdiem "avansa un" pirms vārda "starpposma".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Atbalstāmās darbības un to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attiecināmo izmaksu uzskaitījumu, t.sk. izmaksu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ka PVN nav attiecināms no AF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Atbilstoši  šo noteikumu </w:t>
            </w:r>
            <w:r w:rsidR="00000000" w:rsidRPr="00000000" w:rsidDel="00000000">
              <w:rPr>
                <w:rtl w:val="0"/>
              </w:rPr>
              <w:t xml:space="preserve">​</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2.4.1.2.i. investīcijas izmaksas ir ne vairāk kā 2661 EUR uz vienu papildu mājsaimniecību vai uzņēmumu, skolu, slimnīcu un citu sabiedrisko ēku (adrešu) skaitu, kam nodrošināta piekļuve ļoti augstas veiktspējas tīklam.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kādas izmaksas ir plānotas projektu ietvaros, ko var attiecināt no Atveseļošanas fonda projekta ietvaros. Šobrīd regulējums ir ļoti sadrumstalots. Aicinātu regulējumus, kas attiecas uz izmaksām, prasībām projekta iesniedzējiem un projektu iesniegšanu, vērtēšanu, likt pa blokiem, lai būtu izsekojams un skaidrs regulējums.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Atbilstoši  šo noteikumu </w:t>
            </w:r>
            <w:r w:rsidR="00000000" w:rsidRPr="00000000" w:rsidDel="00000000">
              <w:rPr>
                <w:rtl w:val="0"/>
              </w:rPr>
              <w:t xml:space="preserve">​</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2.4.1.2.i. investīcijas izmaksas ir ne vairāk kā 2661 EUR uz vienu papildu mājsaimniecību vai uzņēmumu, skolu, slimnīcu un citu sabiedrisko ēku (adrešu) skaitu, kam nodrošināta piekļuve ļoti augstas veiktspējas tīklam.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viennozīmīgi skaidrs, kas domāts ar vārdiem "papildu mājsaimniecību". Vai 2 661 EUR attiecas tikai uz papildus mājsaimniecību? Vai ir arī tādas mājsaimniecības, kas ietilpst kādā sākotnējā apjomā, kas nav papildus apjoms? Lūdzam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Atbilstoši  šo noteikumu </w:t>
            </w:r>
            <w:r w:rsidR="00000000" w:rsidRPr="00000000" w:rsidDel="00000000">
              <w:rPr>
                <w:rtl w:val="0"/>
              </w:rPr>
              <w:t xml:space="preserve">​</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minētajam 2.4.1.2.i. investīcijas izmaksas ir ne vairāk kā 2661 EUR uz vienu papildu mājsaimniecību vai uzņēmumu, skolu, slimnīcu un citu sabiedrisko ēku (adrešu) skaitu, kam nodrošināta piekļuve ļoti augstas veiktspējas tīklam.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informāciju par atbalsta apjomu un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saņēmējam projekta ietvaros ir iespēja ieplānot neatkarīga revidenta/iekšējā auditora iesaisti, lai apliecinātu atskaites punkta un/vai mērķa sasniegšanu un izmaksu pamatotību. Neatkarīga revidenta/iekšējā audita izmaksas, izņemot, ja šo funkciju veic iekšējā audita struktūrvienība, ir attiecināmas finansēšanai no Atveseļošanas fonda finansējuma, ja tas neietekmē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minēto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14.punkta otrajā teikumā ar vārdiem “Satiksmes ministrijas” pēc vārdiem “ja šo funkciju veic”. Vienlaicīgi aicinām precizēt, kādām pārbaudēm var pieaicināt neatkarīga revidenta vai iekšējā auditora iesaisti, kuras neveiks Satiksmes ministrija, lai būtu nepārprotami skaidrs un nošķirtas funkcijas starp finansējuma saņēmēju un nozares ministriju. Tāpat lūdzam skaidrot vai precizēt otrā teikuma pēdējo palīgteikumu “ja tas neietekmē šo noteikumu 5.2. un 5.3. apakšpunktā minēto mērķu sasniegšanu". Nav viennozīmīgi skaidrs kādā veidā neatkarīga revidenta vai iekšējā auditora iesaiste var ietekmēt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2.4.1.2.i. investīcijas atbalsta sniedzējs jeb komercdarbības atbalsta sniedzējinstitūcija ir Centrālā finanšu un līgumu aģentūra.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Atveseļošanas un noturības mehānisma plāna 796.punktam projektu īstenos Satiksmes ministrija sadarbībā ar pašvaldībām un elektronisko sakaru komersantiem. Līdz ar to noteikumu projekts pirmsšķietami neatbilst AF plānam, jo kā projekta iesniedzējs nav paredzēta Satiksmes ministrija, kā arī nav paredzēti sadarbības partneri pašvaldības un elektronisko sakaru komersanti. Turklāt noteikumu projektā nav paredzēts, ka būs atklāta projektu atlase. Līdz ar to šobrīd nav skaidrs, kas būs finansējuma saņēmējs, cik tie būs un vai ir nepieciešams rīkot atklātu projektu atlasi vai projekta iesniedzējs būs LVRTC vai Satiksmes ministrija, vai plānošanas reģioni. Vēršam uzmanību, ka CFLA atbilstoši sākotnējam plānam nav paredzējusi resursu, projektu atlasēm un atbilstoši MK 2021. gada 7. septembra noteikumiem Nr. 621 "Eiropas Savienības Atveseļošanas un noturības mehānisma plāna īstenošanas un uzraudzības kārtība", ja CFLA neatlasa finansējuma saņēmējus, tad CFLA nepiešķir komercdarbības atbalstu. Lūdzu izvērtēt visu minēto un noteikt korektu komercdarbības atbalsta sniedzēja institūciju.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Grantiņa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2.4.1.2.i. investīcijas atbalsta sniedzējs jeb komercdarbības atbalsta sniedzējinstitūcija ir Centrālā finanšu un līgumu aģentūra.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plānots, ka CFLA veiks atlasi, tad papildināt punktu ar attiecīgo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Finansējuma saņēmējam projekta ietvaros ir iespēja iekļaut ar projekta darbībām tieši saistīto publicitātes un vizuālās identitātes pasākumu izmaksas, kas veiktas atbilstoši </w:t>
            </w:r>
            <w:r w:rsidR="00000000" w:rsidRPr="00000000" w:rsidDel="00000000">
              <w:rPr>
                <w:rtl w:val="0"/>
              </w:rPr>
              <w:t xml:space="preserve">Eiropas Parlamenta un Padomes 2021. gada 12. februāra regulas Nr. 2021/241, ar ko izveido Atveseļošanas un noturības mehānismu</w:t>
            </w:r>
            <w:r w:rsidR="00000000" w:rsidRPr="00000000" w:rsidDel="00000000">
              <w:rPr>
                <w:rtl w:val="0"/>
              </w:rPr>
              <w:t xml:space="preserve">, </w:t>
            </w:r>
            <w:r w:rsidR="00000000" w:rsidRPr="00000000" w:rsidDel="00000000">
              <w:rPr>
                <w:rtl w:val="0"/>
              </w:rPr>
              <w:t xml:space="preserve"> 34. panta 2. punkta prasībām, finansēšanai no Atveseļošanas fonda, ja tas neietekmē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minēto mērķu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19.punktu ar vārdiem "34. pantu un Eiropas Komisijas un Latvijas Republikas Atveseļošanas un noturības mehānisma finansēšanas nolīguma 10.pantu” aiz vārda "mehānismu". Attiecīgu precizējumu lūdzam veikt arī noteikumu projekta 26.punktā.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Finansējuma saņēmējam projekta ietvaros ir iespēja iekļaut ar projekta darbībām tieši saistīto publicitātes un vizuālās identitātes pasākumu izmaksas, kas veiktas atbilstoši </w:t>
            </w:r>
            <w:r w:rsidR="00000000" w:rsidRPr="00000000" w:rsidDel="00000000">
              <w:rPr>
                <w:rtl w:val="0"/>
              </w:rPr>
              <w:t xml:space="preserve">Eiropas Parlamenta un Padomes 2021. gada 12. februāra regulas Nr. 2021/241, ar ko izveido Atveseļošanas un noturības mehānismu</w:t>
            </w:r>
            <w:r w:rsidR="00000000" w:rsidRPr="00000000" w:rsidDel="00000000">
              <w:rPr>
                <w:rtl w:val="0"/>
              </w:rPr>
              <w:t xml:space="preserve">, </w:t>
            </w:r>
            <w:r w:rsidR="00000000" w:rsidRPr="00000000" w:rsidDel="00000000">
              <w:rPr>
                <w:rtl w:val="0"/>
              </w:rPr>
              <w:t xml:space="preserve"> 34. panta 2. punkta prasībām, finansēšanai no Atveseļošanas fonda, ja tas neietekmē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minēto mērķu sasniegšanu.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pēdējā palīgteikumā "ja tas neietekmē šo noteikumu 5.2. un ​5.3. apakšpunktā minēto mērķu sasniegšanu" nodomu vai precizēt, lai būtu vienota izpratne.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2.4.1.2.i. investīcijas īstenošanas uzraudzību, tai skaitā, komercdarbības atbalsta nosacījumu ievērošanu atbalsta piešķiršanā un projekta īstenošanā, nodrošina: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tiesību normu dublēšanos ar MK 2021. gada 7. septembra noteikumiem Nr. 621 "Eiropas Savienības Atveseļošanas un noturības mehānisma plāna īstenošanas un uzraudzības kārtība", lūdzam svītrot MK noteikumu projekta 20.punktu.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projektu iesniegumu atlasi atbilstoši projektu iesniegumu atlases nolikuma prasībām, tai skaitā šo noteikumu pielikumam </w:t>
            </w:r>
            <w:r w:rsidR="00000000" w:rsidRPr="00000000" w:rsidDel="00000000">
              <w:rPr>
                <w:rtl w:val="0"/>
              </w:rPr>
              <w:t xml:space="preserve">​</w:t>
            </w:r>
            <w:r w:rsidR="00000000" w:rsidRPr="00000000" w:rsidDel="00000000">
              <w:rPr>
                <w:rtl w:val="0"/>
              </w:rPr>
              <w:t xml:space="preserve">"Projektu iesniegumu vērtēšanas kritēriji un to piemērošanas skaidrojumi"</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finansējuma saņēmējs ir komersants, lūdzam skaidrot kāda veida projektu iesniegumu atlase ir plānota, t.i., atklāta vai ierobežota.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projektu iesniegumu atlasi atbilstoši projektu iesniegumu atlases nolikuma prasībām, tai skaitā šo noteikumu pielikumam </w:t>
            </w:r>
            <w:r w:rsidR="00000000" w:rsidRPr="00000000" w:rsidDel="00000000">
              <w:rPr>
                <w:rtl w:val="0"/>
              </w:rPr>
              <w:t xml:space="preserve">​</w:t>
            </w:r>
            <w:r w:rsidR="00000000" w:rsidRPr="00000000" w:rsidDel="00000000">
              <w:rPr>
                <w:rtl w:val="0"/>
              </w:rPr>
              <w:t xml:space="preserve">"Projektu iesniegumu vērtēšanas kritēriji un to piemērošanas skaidrojumi"</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noteikumus ar Projektu iesniegumu atlases kārtību, vērtēšanas kārtību un aranžēšanu, t.sk. vienāda punktu skaita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projektu iesniegumu atlasi atbilstoši projektu iesniegumu atlases nolikuma prasībām, tai skaitā šo noteikumu pielikumam </w:t>
            </w:r>
            <w:r w:rsidR="00000000" w:rsidRPr="00000000" w:rsidDel="00000000">
              <w:rPr>
                <w:rtl w:val="0"/>
              </w:rPr>
              <w:t xml:space="preserve">​</w:t>
            </w:r>
            <w:r w:rsidR="00000000" w:rsidRPr="00000000" w:rsidDel="00000000">
              <w:rPr>
                <w:rtl w:val="0"/>
              </w:rPr>
              <w:t xml:space="preserve">"Projektu iesniegumu vērtēšanas kritēriji un to piemērošanas skaidrojumi"</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“nolikuma prasības” (arī 25.1.apakšpunktā), jo kritērijiem un to vērtēšanas nosacījumiem jābūt iekļautiem šajā MK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reizi gadā atbilstoši normatīvajiem aktiem iesniedz informāciju ziņojumam, kas paredzēts </w:t>
            </w:r>
            <w:r w:rsidR="00000000" w:rsidRPr="00000000" w:rsidDel="00000000">
              <w:rPr>
                <w:rtl w:val="0"/>
              </w:rPr>
              <w:t xml:space="preserve">Padomes 2015. gada 13. jūlija Regulas (Eiropas Savienība) 2015/1589, ar ko nosaka sīki izstrādātus noteikumus Līguma par Eiropas Savienības darbību</w:t>
            </w:r>
            <w:r w:rsidR="00000000" w:rsidRPr="00000000" w:rsidDel="00000000">
              <w:rPr>
                <w:rtl w:val="0"/>
              </w:rPr>
              <w:t xml:space="preserve"> 26. pantā 108. panta piemērošanai.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nav skaidra 23.6.apakšpunktā izvirzītā nosacījuma būtība, kā arī nav korekti atspoguļota atsauce uz 23.6. apakšpunktā minēto regulu. Lūdzam pārskatīt un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Finansējuma saņēmējs nodrošina: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prasībām projekta iesniedzējam.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projekta iesnieguma veidlapas aizpildīšanu Kohēzijas politikas fondu vadības informācijas sistēmā, ievērojot projektu atlases nolikuma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finansējuma saņēmējs uzzinās, kad un kādos termiņos ir iesniedzams projekta iesniegums.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reizi ceturksnī vai pēc atbalsta sniedzēja pieprasījuma iesniegt informāciju par 2.4.1.2.i. investīcijas mērķu sasniegšanas progresu saskaņā ar  līgumu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noteikta biežāka informācijas sniegšana kā tas noteikts Atveseļošanas un noturības mehānisma plānā, kas paredz informācijas iesniegšanu reizi pusgadā, ņemot vērā, ka tas rada papildus administratīvo slogu iesaistītajām pusēm.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reizi ceturksnī vai pēc atbalsta sniedzēja pieprasījuma iesniegt informāciju par 2.4.1.2.i. investīcijas mērķu sasniegšanas progresu saskaņā ar  līgumu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MK noteikumu projekta punkts nav pretrunā ar 27.punktu, ņemot vērā, ka ir noteikts, ka atskaites iesniedz CFLA, bet nozares ministrija publicē.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 ka izmaksas šo noteikumu </w:t>
            </w:r>
            <w:r w:rsidR="00000000" w:rsidRPr="00000000" w:rsidDel="00000000">
              <w:rPr>
                <w:rtl w:val="0"/>
              </w:rPr>
              <w:t xml:space="preserve">5.2. </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noteikto mērķu sasniegšanai nav veiktas agrāk par dienu, kad Eiropas Komisija ir pieņēmusi lēmumu par 2.4.1.2.i. investīcijas saderību ar </w:t>
            </w:r>
            <w:r w:rsidR="00000000" w:rsidRPr="00000000" w:rsidDel="00000000">
              <w:rPr>
                <w:rtl w:val="0"/>
              </w:rPr>
              <w:t xml:space="preserve">Līgumu par Eiropas Savienības darbību</w:t>
            </w:r>
            <w:r w:rsidR="00000000" w:rsidRPr="00000000" w:rsidDel="00000000">
              <w:rPr>
                <w:rtl w:val="0"/>
              </w:rPr>
              <w:t xml:space="preserve"> un projektā plānotās darbības uz projekta īstenošanas līguma noslēgšanas brīdi nav pabeigtas;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plānoto, ka pasākums tiks ieviests kā ar Eiropas Komisiju saskaņots komercdarbības atbalsts, nav skaidrs, kā var rasties 25.10.apakšpunktā aprakstītā situācija. Ievērojot to, ka Eiropas Komisija pieņems lēmumu par atbalsta saderību ar Eiropas Savienības iekšējo tirgu, lai izpildītu stimulējošas ietekmes nosacījumu, lūdzam nodrošināt, ka pirmās saistības var tikt uzņemtas un darbi pie projekta drīkst būt uzsākti pēc Eiropas Komisijas lēmuma pieņemšanas, izņemot tās aktivitātes, kas nav uzskatāmas par darbu sākumu, atbilstoši Komisijas regulas  Nr. 651/2014 2.panta 23.punktā noteiktajai darbu sākuma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25.12. interešu konflikta, korupcijas, krāpšanas novēršanas un dubultā finansējuma riska novēršanas nosacījumu ievērošanu visā projekta laikā, nodrošinot vismaz šādus pasākumus: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punktu ar nepieciešamību veikt pārbaudes arī attiecībā uz sasniegto atskaites punktu un mērķu pamatojošās dokumentāciju, t.sk. datu ticamības pārbaude.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25.14. nodrošina projekta rezultātu ilgtspēju, tai skaitā, piekļuvi vismaz tādiem vairumtirdzniecības pakalpojumiem kā komersantam ar būtisku ietekmi tirgū, ko regulē piekļuves pamatpiedāvājuma noteikumi un mazumtirdzniecības pakalpojumus, divdesmit gadus pēc projekta beigām pasīvai infrastruktūrai un trīs gadus aktīvajai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pamatojumu anotācijā, kādēļ ilgtspējas pienākums ir noteikts 20 gadu periodā pasīvai infrastruktūrai.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Grantiņa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Nozares ministrija, atbalsta sniedzējs un finansējuma saņēmējs nodrošina informācijas un publicitātes pasākumus par 2.4.1.2.i. investīciju saskaņā ar </w:t>
            </w:r>
            <w:r w:rsidR="00000000" w:rsidRPr="00000000" w:rsidDel="00000000">
              <w:rPr>
                <w:rtl w:val="0"/>
              </w:rPr>
              <w:t xml:space="preserve">Eiropas Parlamenta un Padomes 2021. gada 12. februāra Regulas Nr. 2021/241</w:t>
            </w:r>
            <w:r w:rsidR="00000000" w:rsidRPr="00000000" w:rsidDel="00000000">
              <w:rPr>
                <w:rtl w:val="0"/>
              </w:rPr>
              <w:t xml:space="preserve"> 34. panta 2. punktu un </w:t>
            </w:r>
            <w:r w:rsidR="00000000" w:rsidRPr="00000000" w:rsidDel="00000000">
              <w:rPr>
                <w:rtl w:val="0"/>
              </w:rPr>
              <w:t xml:space="preserve">Latvijas Republikas un Eiropas Komisijas finansēšanas nolīguma par Atveseļošanas un noturības mehānismu</w:t>
            </w:r>
            <w:r w:rsidR="00000000" w:rsidRPr="00000000" w:rsidDel="00000000">
              <w:rPr>
                <w:rtl w:val="0"/>
              </w:rPr>
              <w:t xml:space="preserve"> 10. 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vārdus un zīmi "Nozares ministrija, atbalsta sniedzējs un", lai novērstu tiesību normu kolīziju un normu paplašināšanu ar Ministru kabineta 2021. gada 7. septembra noteikumu Nr. 621 "Eiropas Savienības Atveseļošanas un noturības mehānisma plāna īstenošanas un uzraudzības kārtība" 8.4.apakšpunktu, kas nosaka publicitātes nosacījumu ievērošanu attiecībā uz nozares ministriju, savukārt attiecībā uz atbalsta sniedzēju tas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sniedzējs nodrošina ar 2.4.1.2.i. investīcijas īstenošanu saistītās informācijas un dokumentu uzglabāšanu 20 gadus pēc projekta īstenošanas rezultātā izveidotās infrastruktūras pieņemšanas ekspluatācijā.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28.punktā norādītais šobrīd ir dažādi interpretējams, attiecīgi aicinām nepārprotami norādīt, kurš brīdis ir uzskatāms par atskaites brīdi projekta pēcuzraudzības uzsākšanai, t.sk. dokumentu uzglabāšanai. Infrastruktūras uzraudzība un izmantošana atbilstoši sākotnējam mērķim ir jānodrošina tās amortizācijas periodā. Attiecīgi aicinām precizēt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Atbalsta sniedzējs nodrošina ar 2.4.1.2.i. investīcijas īstenošanu saistītās informācijas un dokumentu uzglabāšanu 20 gadus pēc projekta īstenošanas rezultātā izveidotās infrastruktūras pieņemšanas ekspluatācijā.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vārdus "Atbalsta sniedzējs" ar vārdiem "Finansējuma saņēmējs", ņemot vērā, ka Atbalsta sniedzēja pienākumus atrunā citi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Atbalsta sniedzējs sadarbībā ar finansējuma saņēmēju nodrošina informācijas uzrādīšanu institūcijām, kas nodrošina ANM plāna īstenošanu un uzraudzību, kā arī </w:t>
            </w:r>
            <w:r w:rsidR="00000000" w:rsidRPr="00000000" w:rsidDel="00000000">
              <w:rPr>
                <w:rtl w:val="0"/>
              </w:rPr>
              <w:t xml:space="preserve">Latvijas Republikas un Eiropas Komisijas finansēšanas nolīgumā par Atveseļošanas un noturības mehānismu</w:t>
            </w:r>
            <w:r w:rsidR="00000000" w:rsidRPr="00000000" w:rsidDel="00000000">
              <w:rPr>
                <w:rtl w:val="0"/>
              </w:rPr>
              <w:t xml:space="preserve"> minētajām iestādēm.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pienākumu atbalsta sniedzējam nodrošināt informācijas uzrādīšanu institūcijām, lai novērstu tiesību normu kolīziju.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Atbalsts nav paredzēts grūtībās nonākušam uzņēmumam, kas definēts </w:t>
            </w:r>
            <w:r w:rsidR="00000000" w:rsidRPr="00000000" w:rsidDel="00000000">
              <w:rPr>
                <w:rtl w:val="0"/>
              </w:rPr>
              <w:t xml:space="preserve">Eiropas Komisijas 2014. gada 17. jūnijs regulā Nr.651/2014, ar ko noteiktas atbalsta kategorijas atzīst par saderīgām ar iekšējo tirgu, piemērojot Līguma 107. un 108. pantu</w:t>
            </w:r>
            <w:r w:rsidR="00000000" w:rsidRPr="00000000" w:rsidDel="00000000">
              <w:rPr>
                <w:rtl w:val="0"/>
              </w:rPr>
              <w:t xml:space="preserve">, 2. panta 18.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Kritēriju komplektu papildināt ar atsevišķiem NEPRECIZĒJAMAJIEM (izslēgšanas) kritērijiem, kas attiecas uz GNU un citiem izslēgšanas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attiecībā uz izslēgšanas ir atrodama: https://www.esfondi.lv/upload/anm/af_vadlinijas-_11.07.2022_v_2.pdf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Atbalsts tiek sniegts, ja uz projekta iesniedzēju nav attiecināmi </w:t>
            </w:r>
            <w:r w:rsidR="00000000" w:rsidRPr="00000000" w:rsidDel="00000000">
              <w:rPr>
                <w:rtl w:val="0"/>
              </w:rPr>
              <w:t xml:space="preserve">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136. pantā noteiktie izslēgšanas kritēriji.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kārtību, kādā projekta iesniedzējs varēs apstrīdēt atbalsta sniedzēja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Atbalsta piešķiršanas brīdis ir līguma par projekta īstenošanu noslēgšana vai grozījumu veikšana tajā saistībā ar finansējuma izmaiņām, ko noslēdz pēc tam, kad Eiropas Komisija ir pieņēmusi lēmumu par 2.4.1.2.i. investīcijas saderību ar </w:t>
            </w:r>
            <w:r w:rsidR="00000000" w:rsidRPr="00000000" w:rsidDel="00000000">
              <w:rPr>
                <w:rtl w:val="0"/>
              </w:rPr>
              <w:t xml:space="preserve">Līgumu par Eiropas Savienības darbību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36.punktu, vēršam uzmanību, ka no šobrīd tajā norādītā nav skaidrs, kas būs atbalsta piešķiršanas brīdis -  līguma par projekta īstenošanu noslēgšana vai grozījumu veikšana tajā. Vienlaikus vēršam uzmanību, ka, ievērojot Satiksmes ministrijas plānoto, ka pasākums tiks ieviests kā ar Eiropas Komisiju saskaņots komercdarbības atbalsts, nav skaidrs, kā pirms Eiropas Komisijas lēmuma pieņemšanas varētu tikt lemts par atbalsta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Atbalsta piešķiršanas brīdis ir līguma par projekta īstenošanu noslēgšana vai grozījumu veikšana tajā saistībā ar finansējuma izmaiņām, ko noslēdz pēc tam, kad Eiropas Komisija ir pieņēmusi lēmumu par 2.4.1.2.i. investīcijas saderību ar </w:t>
            </w:r>
            <w:r w:rsidR="00000000" w:rsidRPr="00000000" w:rsidDel="00000000">
              <w:rPr>
                <w:rtl w:val="0"/>
              </w:rPr>
              <w:t xml:space="preserve">Līgumu par Eiropas Savienības darbību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projekta 36.punktu, jo komercdarbības atbalsts netiks piešķirts ar līgumu par projekta īstenošanu. Gadījumā, ja CFLA būs komercdarbības atbalsta sniedzējinstitūcija, tad komercdarbības atbalsts tiks piešķirts ar lēmumu par projekta apstiprināšanu vai atzinumu par nosacījumu izpildi. Gadījumā, ja komercdarbības atbalsta sniedzējs būs cita institūcija, tad komercdarbības atbalsta piešķiršanas brīdis būs jānosaka atbilstoši tās procedūrām, kas potenciāli varētu būt līgums par projekta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Subsidēto elektronisko sakaru tīklu uzraudzības komiteja vismaz 20 gadus pēc projekta īstenošanas rezultātā izveidotās infrastruktūras pieņemšanas ekspluatācijā nodrošina 2.4.1.2.i. investīcijas uzraudzību un: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39.punkta redakciju, jo no šobrīd esošas redakcijas nav skaidrs, vai 20 gadi ir attiecināmi uz amortizācijas periodu vai infrastruktūras pieņemšanu ekspluatācijā. Vēršam uzmanību, ka infrastruktūras uzraudzība un izmantošana atbilstoši sākotnējam mērķim ir jānodrošina visā tās amortizācijas periodā. Lūdzam precizēt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Noteikumi stājas spēkā nākamajā dienā pēc tam, kad oficiālajā izdevumā ''Latvijas Vēstnesis'' publicēts paziņojums par to, ka Eiropas Komisija pieņēmusi lēmumu par šajos noteikumos paredzētā komercdarbības atbalsta saderību ar Eiropas Savienības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punktu, kurā aprakstīts atlases izsludināšanas process un ilgums.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 varētu tikt nodrošināta Kritēriju piemērošanas metodikā pie 1.1.kritērija "Projekta iesniedzējs atbilst šajos MK noteikumos izvirzītajām prasībām. (P)" norādītā rīcība, ka ja projekta iesniedzējs neatbilst prasībām, lai 1.1. kritērijā saņemtu vērtējumu „Jā”, vērtējums ir „Jā, ar nosacījumu” (Rīcība: lēmumā izvirza nosacījumu projekta iesniedzējam precizēt projekta iesnieguma informāciju, nodrošinot, ka projekta iesniedzējs atbilst projekta iesniedzēju lokam) gadījumos, kad: projekta iesniedzējs ir grūtībās nonācis uzņēmums, kas definēts Eiropas Komisijas 2014. gada 17. jūnija regulā Nr.651/2014, ar ko noteiktas atbalsta kategorijas atzīst par saderīgām ar iekšējo tirgu, piemērojot Līguma 107. un 108. pantu, 2. panta 18. punktā vai uz projekta iesniedzēju ir attiecināms līdzekļu atgūšanas rīkojums saskaņā ar iepriekšēju Eiropas Komisijas lēmumu, ar ko atbalsts tiek atzīts par nelikumīgu un nesaderīgu ar kopējo tirgu. Vēršam uzmanību, ka vienīgā rīcība šajā gadījumā būtu projekta noraidīšana. Lūdzam atbilstoši precizēt kritēriju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atbilstības kritērija Nr.1.7. "Projekta iesniegumā iekļautās kopējās attiecināmās izmaksas un izmaksu pozīcijas atbilst šajos MK noteiktajam un nodrošina projektā izvirzītā mērķa un rādītāju sasniegšanu. (P)" piemērošanas skaidrojumu, papildinot to ar konkrētām atsaucēm uz konkrētiem MK noteikumu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atbilstības kritērija Nr. 1.10 "Projekta iesniegumā plānotie rādītāji ir precīzi definēti, pamatoti un izmērāmi un nav mazāks, kā noteikts šajos MK noteikumos. (P)" piemērošanas skaidrojumu, definējot to atbilstoši MK noteikumiem vai MK noteikumus precizēt atbilstoši kritērijam.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kritērija 3. punktā ir norādīts, ka viens projekts ir plānots vienam plānošanas reģionam, savukārt MK noteikumu projektā šādas informācijas nav. Lūdzam salāgot abus dokumentus.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2.3. kritērija punktu piešķiršanu par nosacījumu "vairāk punktu piešķirot tādai tīkla topoloģijai, kas nodrošina atsaistes iespējas un kurai ir labvēlīgāki piekļuves nosacījumi." iekļaut izvērtēšanas skaidrojumā.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atsevišķi izdalīt vispirms izslēgšanas kritērijus, pēc tam atbilstības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Izvērtēt iespēju 1.1.kritēriju noteikt kā Neprecizējamu. Sniegt informāciju, kā tiks pārbaudīts, ka "Projektu iesniedzējs iepriekšējo 3 (trīs) gadu laikā un kārtējā gadā līdz projekta iesniegšanas termiņa beigām ir nodrošinājis elektronisko sakaru infrastruktūras izveidi apmērā vismaz 300 objektos (adresēs)", kādi dokumenti jāiesniedz, lai šo pierādītu, kur pārbauda, ka elektronisko sakaru komersantam ir tiesības sniegt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1.2.kritēriju "Projekta iesnieguma veidlapa ir aizpildīta datorrakstā. (P)"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 1.3.kritērija papildus iekļaut skaidrojumu, kādi dokumenti jāiesniedz, lai ir iespējams pārliecināties par projekta iesniedzēja finanšu kapacitāti. Papildus jāsniedz informācija no kādiem līdzekļiem tiks segts PVN, kas nav attiecināms no AF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Iekļaut kritēriju "Projekta iesniedzējam un projekta sadarbības partnerim, ja tāds projektā ir paredzēts, Latvijas Republikā nav nodokļu parādu, tajā skaitā valsts sociālās apdrošināšanas obligāto iemaksu parādi, kas kopsummā katram atsevišķi pārsniedz 150 euro[1];[2]"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Nodokļu parādu neesamības pārbaudi veic uz projekta iesnieguma iesniegšanas dienu un to atkāroti pārbauda uz precizētā projekta iesnieguma iesniegšanas dienu, ja ir bijis pieņemts lēmums par projekta iesnieguma apstiprināšanu ar nosacījumu neatkarīgi no tā, vai nosacījums ir saistīts ar šī kritērija izpildi. Vērtēšanā nodokļu parāds VID datu bāzē tiek pārbaudīts VID noteiktajā publicēšanas dienā (7. vai 26. mēneša datumā), kas ir tuvākais datums  pirms projekta iesnieguma vai precizētā projekta iesniegšanas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Nekustamā īpašuma nodokļa nomaksu pārbauda gadījumos, kad specifiskā atbalsta mērķa, tā pasākuma vai kārtas projektu ietvaros plānots veikt ieguldījumus nekustamajā īpašumā un tā īpašnieks ir nekustamā īpašuma nodokļu maksātājs atbilstoši likumā “Par nekustamā īpašuma nodokli” noteiktajam un šī nodokļa pārbaudes nepieciešamību ir noteikusi atbildīgā iestāde. Ja ir noteikta nekustamā īpašuma nodokļu parāda pārbaudes nepieciešamība, šī informācija ir iekļaujama projektu iesniegumu vērtēšanas kritēriju piemērošanas metodikā."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Iesakām dzēst 1.4. kritēriju, jo MK noteikumu projekta 25.1.apakšpunkts neparedz citas iespējas un nav nepieciešamība to atsevišķi 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6)1.5.kritērija skaidrojumā nepieciešams papildināt informāciju ar obligāti iesniedzamo dokumentu sarakstu (papildus šo sarakstu iekļaut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1.6.kritērijā precizēt skaidrojumu ar atsaucēm uz MK noteikumiem, kur noteikti izmaksu ierobežojumi, t.sk. dzēst informāciju, ka projekta iesnieguma budžetā ir aizpildīta kolonna PVN, jo tādas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noteikumos iekļaut attiecināmo izmaksu uzskaitījumu, t.sk. noteikt izmaksu ierobežojumus, lai būtu iespējams izvērtēt projekta atbilstību 1.7.kritērijam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Izvērtēt 1.8.kritērija nepieciešamību, tai skaitā precizēt kritērija skaidrojumu, jo AF netiks sadalīts pa gadiem.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Sākot ar 1.11.kritēriju tālākos kritērijus izdalīt kā specifiskos kritērijus. Papildus 1.11.kritērija skaidrojumā iekļaut atsauci uz MK noteikumu pielikumu, kurā jābūt iekļautiem obligāti ierīkotajiem objektiem un teritorijas, kurās nav ļoti augstas veiktspējas tīklu ar lejupielādes un augšupielādes ātrumu ne mazāku kā 100 Mbit/s (adrešu saraksts)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1.12.kritērija skaidrojumu ar pazīmēm pēc kurām var izvērtēt un gūt pārliecību, ka projektā ir pietiekami argumentēti aprakstīts elektronisko sakaru tīkla tehnoloģiskais risinājums un tas rada pārliecību, ka varēs nodrošināt veiktspēju (pakalpojumu) ar lejupielādes un augšupielādes ātrumu ne mazāku kā 100 Mbit/s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Kritērijos nav iekļauta prasība nodrošināt "nenodarīt būtisku kaitējumu" un kā to izvērtēt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Kvalitātes kritērijos nav sniegta informācija par informācijas avotiem kritērija izvērtēšanai, vai formulas ar datu avotiem vērtējuma aprēķināšanai, kā arī nav norādīta informācija kā rīkoties gadījumos, ja nav datu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ja ir konkurss, tad nav iespējams izvirzīt nosacījumu kvalitātes kritērijos (2.1.kritērijs), 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kvalitātes kritērijos jānosaka minimāli sasniedzamā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ja nensasniedz minimālo vērtību, projektu noraida.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nebūs minimālo prasību, tad jānosaka papildus kritēriji pēc kuriem aranžē projektus, lai noteiktu, kam piešķirt finansējumu, vienādu punktu gadījumā vai vairākiem tiek piešķirts 0 punktu, jānosaka kam būs priekšroka.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1.1.punktu ar atsauci uz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investīcijas ietvaros tika veikta "Nenodarīt būtisku kaitējumu" (NBK) principa izvērtēšana. Papildus lūdzam iekļaut informāciju, ka NBK principa izvērtēšanas rezultātā tika secināts, ka investīcijas īstenošanai nav būtiskas ietekmes uz vidi.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pasākuma ieviešanā nav iespējams piemērot Eiropas Komisijas 2014. gada 17. jūnija regulas Nr.651/2014, ar ko noteiktas atbalsta kategorijas atzīst par saderīgām ar iekšējo tirgu, piemērojot Līguma 107. un 108. pantu (turpmāk - Komisijas regula Nr. 651/2014 ), 52.a panta "Atbalsts 4G un 5G mobilo sakaru tīkliem" nosacījumus, tomēr ievērojot to, ka atbalsta pasākumā nav plānots atbalstīt pasīvo mobilo sakaru tīklu izbūvi, bet gan nodrošināt "pēdējās jūdzes" pieslēgumus, lūdzam papildināt anotāciju arī ar informāciju, kāpēc pasākuma ietvaros nevar piemērot Komisijas regulas Nr. 651/2014 52 c pantu "Savienotības vaučeri".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lai atvieglotu dalībvalstīm dažādu ieguldījumu projektu ieviešanu atbilstoši komercdarbības atbalsta kontroles regulējumam, ir izstrādājusi tehniskus dokumentus, kas palīdz dalībvalstīm izstrādāt to atbalsta programmas. Eiropas Komisija ir izstrādājusi arī dokumentu, kas skaidro komercdarbības atbalsta kontroles regulējuma piemērošanu fiksēto un mobilo tīklu ar ļoti augstu veiktspēju, tostarp 5G un optiskās šķiedras, izveidi, paplašināšanu un izmantošanu - lūdzam skatīt </w:t>
            </w:r>
            <w:r w:rsidR="00000000" w:rsidRPr="00000000" w:rsidDel="00000000">
              <w:rPr>
                <w:i w:val="1"/>
                <w:rtl w:val="0"/>
              </w:rPr>
              <w:t xml:space="preserve">Guiding template: Measures to support the deployment and take-up of fixed and mobile very high capacity networks, including 5G and fibre networks</w:t>
            </w:r>
            <w:r w:rsidR="00000000" w:rsidRPr="00000000" w:rsidDel="00000000">
              <w:rPr>
                <w:rtl w:val="0"/>
              </w:rPr>
              <w:t xml:space="preserve"> https://competition-policy.ec.europa.eu/system/files/2021-12/template_RRF_broadband_roll_out_and_demand_side_measures.pdf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pārliecināties, ka Satiksmes ministrijas plānotais pasākums iekļaujas Eiropas Komisijas piedāvātajā redzējumā par pasākumiem, kas izvēršami pakalpojuma pieprasījuma puses stimulēšanai. Vēršam uzmanību, ka šobrīd plānotais Satiksmes ministrijas piedāvājums pasākuma ieviešanā būtiski atšķiras no Eiropas Komisijas piedāvātā redzējuma, kas paredz sniegt atbalstu pakalpojuma gala saņēmējiem un netieši arī pakalpojuma sniedzējiem, nevis sniegt investīciju atbalstu pakalpojuma sniedzējam. Pasākumu ieviešot, ievērojot gala saņēmēju pieprasījumu, tiktu nodrošināts, ka ierobežotie publiskie līdzekļi tiek izmantoti efektīvākajā veidā un tikai tur, kur tie tiešām nepieciešami. Attiecīgi lūdzam Satiksmes ministriju kā nozares ekspertus izvērtēt iespēju piemērot Komisijas regulas Nr. 651/2014 52 c pantu "Savienotības vaučeri".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anotācijā skaidrot 2661 euro izmaksu apmēra pamatojumu un kā to var iekļaut projektā, proti, kādiem nosacījumiem jāizpildās lai piemērotu šo izmaksu slieksni.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3.sadaļas 1.1.apakšpunktu, attiecīgi 2023., 2024. un 2025.gadam ailē “izmaiņas, salīdzinot ar vidēja termiņa budžeta ietvaru” norādot Atveseļošanas fonda finansējumu atbilstoši 6.punktā sniegtajai informācija par Atveseļošanas fonda finansējuma apmēru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2.1.apakšpunktā sniegto informāciju, proti, svītrot norādīto informāciju ailē “saskaņā ar vidēja termiņa budžeta ietvaru” un norādīt informāciju 2023., 2024. un 2025.gadam ailē “izmaiņas, salīdzinot ar vidēja termiņa budžeta ietvaru” atbilstoši 6.2.apakšunktā sniegtajai informāciju par plānotajiem izdevumiem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ka investīciju ietvaros pievienotās vērtības nodokļa izmaksas finansējuma saņēmēji nodrošinās no saviem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ar skaidrojumu, kā tika noteiktas MK noteikumu 18.punktā noteiktās prasības projekta iesniedzējam, un cik ir tādu komersantu, kas varētu izpildīt šīs prasības. Papildus saistībā ar anotācijā norādīto, ka nav izslēgtas iespējas biedrībai vai nodibinājumam iesaistīties kā AF ieviesējam/īstenotājam, kā tās spēs izpildīt MK noteikumu 18.punktā noteikto - pēdējo 3 (trīs) gadu laikā un kārtējā gadā līdz projekta iesniegšanas termiņa beigām ir nodrošinājis elektronisko sakaru tikla izveidi vismaz 300 objektos (adresēs).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sniegt skaidrojumu/izvērtējumu, kāpēc nav iespējams noteikt vienu vai dažus konkrētus projekta iesniedzējus.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gadu atskaites punktam saskaņā ar Atveseļošanas fonda plāna pielikumu "Darbības kārtība, par kuru vienojas Eiropas Komisija un Latvija".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noteikto, ka "Lai nodrošinātu demarkāciju, apstiprinot projektus, tiks vērtēti objekti adrešu līmenī, ņemot vērā valsts atbalsta nosacījumus un salīdzinot pret iesniegtajiem projektiem, neatkarīgi no finansējuma avota.", lūdzam papildināt MK noteikumu projekta pielikuma kritērijus ar anotācijā minētā nosacījumu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noteikts "ir identificēti objekti, kuros ir nepieciešams ļoti augstas veiktspējas tīkls. Daļa no objektiem projektu atlases nolikuma prasībās tiks noteikti kā obligāti ierīkojami". Norādām, ka CFLA ir sadarbības iestāde un tā neizvēlēsies objektus, kuriem obligāti nepieciešams pieslēgums, līdz ar to anotācijā iekļaut informāciju par šiem objektiem un to izvēles pamatojumu, kā arī lūgums MK noteikumu pielikumā norādīt objektus, kuros ir nepieciešams ļoti augstas veiktspējas tīkls un kuriem tas ir jāierīko obligāti.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Pētījumā "Pētījums Eiropas Savienības fondu 2021.-2027.gada plānošanas perioda ieguldījumu priekšnosacījumu izpildei" ir noteiktas baltās teritorijas, sniegt skaidrojumu, kāpēc ieguldījumus AF investīcijas ietvaros atbalsta ne tikai baltajās teritorijās, bet visā Latvijas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Šmite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par pievienoto dokumentu "Projektu iesniegumu vērtēšanas kritēriji un to piemērošanas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MK noteikumu projekts neparedz iespēju izdot atkārtotu lēmumu par projekta iesnieguma apstiprināšanu ar nosacījumiem, līdz ar to lūdzam izvērtēt šī termina dzēšanu no skaidrojumiem. Minētais ir attiecināms uz atbilstības kritēriju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kvalitātes kritēriju Nr.2.1.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papildināt ar rādītāja skaitlisko vērtību, kāda ir jāsasniedz, lai tiktu piešķirti 10 punkti. Tāpat lūdzam izvērtēt, vai nebūtu precizējamas procentuālās robežas, piemēram, pārsniegts par 5% līdz 9,99 %.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izvērtēt, vai kvalitātes kritērijā Nr.2.1 ir pieļaujams pieņemt lēmumu par apstiprināšanu ar nosacījumu (precizēt rādītāja vērtību), jo kvalitātes kritēriju mērķis ir atlasīt un piešķirt finansējumu tiem projektiem, kuri sniedz lielāko atdevi attiecībā pret projektā ieguldītajiem Atveseļošanas fonda finanšu resursiem. Ļaujot precizēt kvalitātes kritērijus, zūd šo kritēriju mērķis atlasīt labākos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Silva Blite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2.4.1.2.i. investīcijas īstenošanas nosacījumus un kārtību;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noteikumu projekta 1.3.apakšpunktā saīsinājuma "2.4.1.2.i. investīcijas"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ANM plāns – Eiropas Savienības Atveseļošanas un noturības mehānisma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tekstā lietot vienu apzīmējumu uz "Atveseļošanas un noturības mehānisms", t.i., ANM vai Atveseļošanas fonds. Papildus aicinām, lai nodrošinātu vienotas terminoloģijas lietošanu visos tiesību aktos, aizstāt vārdu "ANM" ar "AF". Papildus aicinām attiecīgo terminu ietvert jau noteikumu projekta 1.1.apakšpunktā kā saīsinājumu, kurš tiks lietots turpmāk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Atveseļošanas fonds – Eiropas Savienības Atveseļošanas un noturības mehānisma finansējums;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"finansējums". Vēršam uzmanību, ka finansējumu ir no fonda nevis pats fonds.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2.4.1.2.i. investīcija – ANM plāna reformu un investīciju virziena ''Digitālās infrastruktūras transformācija'' 2.4.1.2.i. investīcija ''Platjoslas jeb ļoti augstas veiktspējas tīklu ''pēdējās jūdzes'' infrastruktūras attīstība'';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2.3.apakšpunktā minēto terminu ietvert jau pie noteikumu projekta 1.1.apakšpunkta kā saīsinājumu, ņemot vērā, ka noteikumu projekta 1.3.apakšpunktā jau sākotnēji tiek lietota atsauce uz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līgums par projekta īstenošanu – līgums starp atbalsta sniedzēju un finansējuma saņēmēju.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2.5.apakšpunktu ar vārdiem "par 2.4.1.2.i. investīcijas projekta īstenošanu", lai būtu viennozīmīgi skaidrs par ko līgums tiek slēgts.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2020. gada 31. decembrim nozares ministrijai nodrošināt vienota modeļa pieņemšanu ''pēdējās jūdzes'' attīstībai (atskaites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un zīmi "turpmāk - " pirms vārdiem "atskaites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līdz 2020. gada 31. decembrim nozares ministrijai nodrošināt vienota modeļa pieņemšanu ''pēdējās jūdzes'' attīstībai (atskaites 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Atveseļošanas un noturības plāna pielikumu, minētais mērķis jāsasniedz līdz 2021.gada 4. 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līdz 2024. gada 31. decembrim 500 tādu mājsaimniecību, uzņēmumu, skolu, slimnīcu un citu sabiedrisko ēku skaits, kam ir piekļuve platjoslas savienojumiem ar ļoti augstas veiktspējas tīklu (uzraudzības rādītājs), tai skaitā, 100 Latgales plānošanas reģionā, 100 Vidzemes plānošanas reģionā, 100 Rīgas plānošanas reģionā, 100 Zemgales plānošanas reģionā, 100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un zīmi "turpmāk - " pirms vārdiem "uzraudzības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līdz 2025. gada 31. decembrim 1500 tādu mājsaimniecību, uzņēmumu, skolu, slimnīcu un citu sabiedrisko ēku skaits, kam ir piekļuve platjoslas savienojumiem ar ļoti augstas veiktspējas tīklu (mērķrādītājs), tai skaitā, 300 Latgales plānošanas reģionā, 300 Vidzemes plānošanas reģionā, 300 Rīgas plānošanas reģionā, 300 Zemgales plānošanas reģionā, 300 Kurzemes plānošanas reģionā.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un zīmi "turpmāk - " pirms vārda "mērķrādītājs".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atklātas stratēģiskās autonomijas un drošības jautājumiem, ņemot vērā, ka 2.4.1.2.i. investīcija atbalstīs ES digitālās suverenitātes mērķus;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noteikumu projekta 8.1.apakšpunktā vārdu "ES" ar vārdiem "Eiropas Savienības".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w:t>
            </w:r>
            <w:r w:rsidR="00000000" w:rsidRPr="00000000" w:rsidDel="00000000">
              <w:rPr>
                <w:rtl w:val="0"/>
              </w:rPr>
              <w:t xml:space="preserve">10.1.</w:t>
            </w:r>
            <w:r w:rsidR="00000000" w:rsidRPr="00000000" w:rsidDel="00000000">
              <w:rPr>
                <w:rtl w:val="0"/>
              </w:rPr>
              <w:t xml:space="preserve"> un </w:t>
            </w:r>
            <w:r w:rsidR="00000000" w:rsidRPr="00000000" w:rsidDel="00000000">
              <w:rPr>
                <w:rtl w:val="0"/>
              </w:rPr>
              <w:t xml:space="preserve">10.2. </w:t>
            </w:r>
            <w:r w:rsidR="00000000" w:rsidRPr="00000000" w:rsidDel="00000000">
              <w:rPr>
                <w:rtl w:val="0"/>
              </w:rPr>
              <w:t xml:space="preserve">apakšpunktā</w:t>
            </w:r>
            <w:r w:rsidR="00000000" w:rsidRPr="00000000" w:rsidDel="00000000">
              <w:rPr>
                <w:rtl w:val="0"/>
              </w:rPr>
              <w:t xml:space="preserve"> piešķirtā avansa un starpposma maksājumu summa nepārsniedz 90% no kopējā projekta investīcijas finansējuma. Finansējuma saņēmējs starpposma maksājumu var saņemt pēc tam, kad avansa maksājums vai starpposma maksājums ir ieguldīts pilnā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redakciju par vārdu "vai starpposma maksājums" nepieciešamību, ņemot vērā, ka starpposma maksājumu veic, pamatojoties uz projektā veiktajiem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2.4.1.2.i. investīcijas atbalstāmās darbības ir tehnoloģiski neitrālu pieslēgumu, kas atbalsta ilgtspējīgu nākamās paaudzes fiksēto, bezvadu vai pavadoņu sakaru savienojamību, ierīkošana elektronisko sakaru pakalpojumu pieejamības nodrošināšanai galalietotājiem (''pēdējā jūdze''), proti: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vārdu "piemēram", jo tas rada nekorektas interpretācijas risku.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saņēmējam projekta ietvaros ir iespēja ieplānot neatkarīga revidenta/iekšējā auditora iesaisti, lai apliecinātu atskaites punkta un/vai mērķa sasniegšanu un izmaksu pamatotību. Neatkarīga revidenta/iekšējā audita izmaksas, izņemot, ja šo funkciju veic iekšējā audita struktūrvienība, ir attiecināmas finansēšanai no Atveseļošanas fonda finansējuma, ja tas neietekmē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minēto mērķu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neizmantot šķerszīmi “/”, tā vietā lietojot vārdu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Projekta iesniegumu iesniedz par viena plānošanas reģiona teritoriju, ievērojot šo noteikumu </w:t>
            </w:r>
            <w:r w:rsidR="00000000" w:rsidRPr="00000000" w:rsidDel="00000000">
              <w:rPr>
                <w:rtl w:val="0"/>
              </w:rPr>
              <w:t xml:space="preserve">5.2.</w:t>
            </w:r>
            <w:r w:rsidR="00000000" w:rsidRPr="00000000" w:rsidDel="00000000">
              <w:rPr>
                <w:rtl w:val="0"/>
              </w:rPr>
              <w:t xml:space="preserve"> un </w:t>
            </w:r>
            <w:r w:rsidR="00000000" w:rsidRPr="00000000" w:rsidDel="00000000">
              <w:rPr>
                <w:rtl w:val="0"/>
              </w:rPr>
              <w:t xml:space="preserve">​</w:t>
            </w:r>
            <w:r w:rsidR="00000000" w:rsidRPr="00000000" w:rsidDel="00000000">
              <w:rPr>
                <w:rtl w:val="0"/>
              </w:rPr>
              <w:t xml:space="preserve">5.3. </w:t>
            </w:r>
            <w:r w:rsidR="00000000" w:rsidRPr="00000000" w:rsidDel="00000000">
              <w:rPr>
                <w:rtl w:val="0"/>
              </w:rPr>
              <w:t xml:space="preserve">apakšpunktā</w:t>
            </w:r>
            <w:r w:rsidR="00000000" w:rsidRPr="00000000" w:rsidDel="00000000">
              <w:rPr>
                <w:rtl w:val="0"/>
              </w:rPr>
              <w:t xml:space="preserve"> noteikto rādītāju sadalījumu.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15.punktu ar vārdiem "finansējuma saņēmējs" aiz vārda "iesniegumu".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2.4.1.2.i. investīcijas ietvaros nozares ministrijas funkcijas pilda Satiksmes ministrija.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16.punktu ar zīmēm un vārdiem "(turpmāk - nozares ministrija)" aiz vārda "ministrija", ņemot vērā, ka noteikumu tekstā tiek lietots termins "nozares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2.4.1.2.i. investīcijas atbalsta sniedzējs jeb komercdarbības atbalsta sniedzējinstitūcija ir Centrālā finanšu un līgumu aģentūra.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17.punktu ar zīmēm un vārdiem "(turpmāk - atbalsta sniedzējs)" aiz vārda "aģentūra", ņemot vērā, ka noteikumu tekstā tiek lietots termins "atbalsta sniedzējs".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kurš iepriekšējo 3 (trīs) gadu laikā un kārtējā gadā līdz projekta iesniegšanas termiņa beigām ir nodrošinājis elektronisko sakaru tīkla izveidi apmērā vismaz 300 objektos (adresēs).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vārdu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Lai nodrošinātu </w:t>
            </w:r>
            <w:r w:rsidR="00000000" w:rsidRPr="00000000" w:rsidDel="00000000">
              <w:rPr>
                <w:rtl w:val="0"/>
              </w:rPr>
              <w:t xml:space="preserve">Ministru Kabineta 2021. gada 7.septembra noteikumu Nr.621 ''Eiropas Savienības Atveseļošanas un noturības mehānisma plāna īstenošanas un uzraudzības kārtība''</w:t>
            </w:r>
            <w:r w:rsidR="00000000" w:rsidRPr="00000000" w:rsidDel="00000000">
              <w:rPr>
                <w:rtl w:val="0"/>
              </w:rPr>
              <w:t xml:space="preserve"> 8. un 9. punktā minētās funkcijas, nozares ministrija un atbalsta sniedzējs slēdz starpresoru vienošanos par sadarbību ANM plāna īstenošanā un uzraudzībā.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Starpresoru vienošanās ir noslēgta, aicinām izvērtēt iespēju svītrot MK noteikumu projekta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Kohēzijas politikas fondu vadības informācijas sistēmā ievada informāciju atbilstoši </w:t>
            </w:r>
            <w:r w:rsidR="00000000" w:rsidRPr="00000000" w:rsidDel="00000000">
              <w:rPr>
                <w:rtl w:val="0"/>
              </w:rPr>
              <w:t xml:space="preserve">Ministru kabineta 2021. gada 7. septembra noteikumu Nr. 621 ''Eiropas Savienības Atveseļošanas un noturības mehānisma plāna īstenošanas un uzraudzības kārtība''</w:t>
            </w:r>
            <w:r w:rsidR="00000000" w:rsidRPr="00000000" w:rsidDel="00000000">
              <w:rPr>
                <w:rtl w:val="0"/>
              </w:rPr>
              <w:t xml:space="preserve"> 17. 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sistēma lietota vairākkārt, lūdzam saīsināt turpmāk - "Vadības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lai nodrošinātu 2.4.1.2.i. investīcijas iekšējās kontroles sistēmas īstenošanas novērtējumu, nozares ministrija veic uz risku novērtējumu balstītu vismaz vienu iekšējo auditu līdz 2026. gada 31. martam, pārbaudot, vai 2.4.1.2.i investīcijas īstenošanā nav konstatējamas pazīmes, kas liecina par pieļautu vai iespējamu interešu konflikta, korupcijas, krāpšanas vai dubultā finansējuma situāciju, kā arī atskaites punktu, uzraudzības rādītāju un mērķa (tai skaitā datu) ticamību.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pārformulēt noteikumu projekta 22.5.apakšpunkta sākumu, lai neveidotos atkārtošanās ar noteikumu projekta 22.punkta sākumu. Šobrīd lasot sanāk - Nozares ministrija nodrošina: [..] 22.5. lai nodrošinātu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Silva Blite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nepieciešamo darbību veikšanu, lai nodrošinātu normatīvajos tiesību aktos noteikto pienākumu attiecībā uz finansējuma saņēmēju veikt attiecīgas korektīvās darbības, ievērojot </w:t>
            </w:r>
            <w:r w:rsidR="00000000" w:rsidRPr="00000000" w:rsidDel="00000000">
              <w:rPr>
                <w:rtl w:val="0"/>
              </w:rPr>
              <w:t xml:space="preserve">Ministru kabineta 2021. gada 7. septembra noteikumu Nr. 621 "Eiropas Savienības Atveseļošanas un noturības mehānisma plāna īstenošanas un uzraudzības kārtība"</w:t>
            </w:r>
            <w:r w:rsidR="00000000" w:rsidRPr="00000000" w:rsidDel="00000000">
              <w:rPr>
                <w:rtl w:val="0"/>
              </w:rPr>
              <w:t xml:space="preserve"> 9. punktā noteikto uzdevumu izpildi, tajā skaitā attiecībā uz 2.4.1.2.i. investīcijas mērķa sasniegšanu, ja konstatē, ka netiek ievērotas normatīvajos tiesību aktos un līgumā par projekta īstenošanu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 “normatīvajos” šajā punktā un visā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var izmantot tiesības uz līguma par projekta īstenošanu vienpusēja uzteikuma nosacījumiem, kad: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punkta sākumu, norādot subjektu, kurš var izmantot šīs tiesības, proti, atbalsta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Silva Blite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iepirkumu plāna, tostarp informāciju par jau noslēgtiem iepirkumu līgumiem un citiem ar projekta īstenošanu saistītiem līgumiem, un plānoto maksājumu pieprasījumu grafiku iesniegšanu un aktualizāciju Kohēzijas politikas fondu vadības informācijas sistēmā nekavējoties pēc izmaiņu identificēšanas;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īstenojot investīciju ir iespējams sociāli atbildīgā publiskā iepirkuma veikšana.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iepirkumu plāna, tostarp informāciju par jau noslēgtiem iepirkumu līgumiem un citiem ar projekta īstenošanu saistītiem līgumiem, un plānoto maksājumu pieprasījumu grafiku iesniegšanu un aktualizāciju Kohēzijas politikas fondu vadības informācijas sistēmā nekavējoties pēc izmaiņu identificēšanas;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finansējuma saņēmējam iepirkumu veikt atklātā, pārredzamā, nediskriminējošā un konkurenci nodrošinošā procedūrā. Vienlaikus lūdzam anotācijā skaidrot, kurš normatīvais akts nosaka to, ka minētā procedūra tiks ievērota.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25.5. iepirkumu plāna, tostarp informāciju par jau noslēgtiem iepirkumu līgumiem un citiem ar projekta īstenošanu saistītiem līgumiem, un plānoto maksājumu pieprasījumu grafiku iesniegšanu un aktualizāciju Kohēzijas politikas fondu vadības informācijas sistēmā nekavējoties pēc izmaiņu identificēšanas;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vārdu "iesniegšanas" pēc vārdiem "plānoto maksājumu pieprasījumu"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Atbalsts nav paredzēts grūtībās nonākušam uzņēmumam, kas definēts </w:t>
            </w:r>
            <w:r w:rsidR="00000000" w:rsidRPr="00000000" w:rsidDel="00000000">
              <w:rPr>
                <w:rtl w:val="0"/>
              </w:rPr>
              <w:t xml:space="preserve">Eiropas Komisijas 2014. gada 17. jūnijs regulā Nr.651/2014, ar ko noteiktas atbalsta kategorijas atzīst par saderīgām ar iekšējo tirgu, piemērojot Līguma 107. un 108. pantu</w:t>
            </w:r>
            <w:r w:rsidR="00000000" w:rsidRPr="00000000" w:rsidDel="00000000">
              <w:rPr>
                <w:rtl w:val="0"/>
              </w:rPr>
              <w:t xml:space="preserve">, 2. panta 18. 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komercdarbības atbalsta sniegšana MK noteikumu projekta ietvaros ir paredzēta komersantiem, kas MK noteikumu 18.punktā definēts kā finansējuma saņēmēji, normas nepārprotamai izpratnei lūdzam norādīt, ka finansējuma saņēmējs nevar būt grūtībās nonācis uzņēmums, atbilstoši Eiropas Komisijas 2014. gada 17. jūnijs regulas Nr.651/2014, ar ko noteiktas atbalsta kategorijas atzīst par saderīgām ar iekšējo tirgu, piemērojot Līguma 107. un 108. pantu, 2. panta 18. punktā sniegtajai definīcijai.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Stimulējošās ietekmes nosacījumu nodrošināšanai atbalstu nedrīkst piešķirt jau uzsāktiem projektiem, kā arī nozares ministrija nodrošina, ka pirms projekta atlases procedūras uzsākšanas ir veikta sabiedriskā apspriešana ne vēlāk kā vienu gadu, kurā elektronisko sakaru komersantiem lūgts iesniegt pamatotu informāciju par to tīkliem, kuri atrodas vai kurus ticami plānots ierīkot mērķa teritorijā projekta īstenošanas laikā, publicējot informāciju Satiksmes ministrijas tīmekļa vietnē.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Nepārprotamas izpratnes nodrošināšanai, lūdzam anotācijā aprakstīt, kā plānots nodrošināt šajā punktā noteikto, jo īpaši par plānoto sabiedrisko apspriešanu. Šobrīd nav skaidri termiņi, kad ir jābūt noslēgtam vienam procesam, lai varētu uzsākt nākamo. Papildus šo lūdzam skatīt kontekstā ar MK noteikumu projekta 37.punktā norādīto, ka lēmumu par atbalsta piešķiršanu var pieņemt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Noteikumi stājas spēkā nākamajā dienā pēc tam, kad oficiālajā izdevumā ''Latvijas Vēstnesis'' publicēts paziņojums par to, ka Eiropas Komisija pieņēmusi lēmumu par šajos noteikumos paredzētā komercdarbības atbalsta saderību ar Eiropas Savienības iekšējo tirgu.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"Latvijas Republikas" pirms vārda "oficiālajā".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pielikuma ievada 7.punktā novienādot atsauces uz Atveseļošanas fondu ar noteikumu projektā lietoto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pielikumu, nosakot, ka projekta iesniedzējas tiek izvērtēts vai tam nav nodokļu parāds.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1.7. kritērija tekstu papildināt ar vārdu “noteikumos” pēc vārda “MK”.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vārdu locījumu “nav mazāks”.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un to piemērošanas skaidrojumi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kritērija izvērtēšanas skaidrojumā aicinām precizēt 5 punktu nosacījuma skaita izpildi ("ja </w:t>
            </w:r>
            <w:r w:rsidR="00000000" w:rsidRPr="00000000" w:rsidDel="00000000">
              <w:rPr>
                <w:b w:val="1"/>
                <w:rtl w:val="0"/>
              </w:rPr>
              <w:t xml:space="preserve">viens </w:t>
            </w:r>
            <w:r w:rsidR="00000000" w:rsidRPr="00000000" w:rsidDel="00000000">
              <w:rPr>
                <w:rtl w:val="0"/>
              </w:rPr>
              <w:t xml:space="preserve">no četriem"), lai būtu vienota pieeja ar pārējiem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Ozoliņa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anotācijas 7.1.punkta Finanšu ministriju, jo nav saistīta projekta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vai Satiksmes ministrija ir izvērtējusi biedrību un nodibinājumu iesaisti investīcijas īstenošanā. Gadījumā, ja iesaiste nav iespējama, aicinām sniegt informāciju un apsvērumus, kādēļ to iesaiste ieviešanā nav iespējama.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Ministru kabineta sēdes protokolējuma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1.Pieņemt iesniegto noteikumu projektu. 2. Valsts kancelejai sagatavot noteikumu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Valerijs Igovens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09.12.2022.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09.12.2022.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