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475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3. sadaļas 1.punktā "Budžeta ieņēmumi" un 2.1. apakšpunktā "valsts pamatbudžets" norādītais Atveseļošanas un noturības mehānisma finansējums (kopsumma 2025. un 2026.gadam) atšķiras par 1 euro no noteikumu projekta 4.punktā norādītā finansējuma. Līdz ar to lūdzam novērst neprecizitāti.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pensijas vecuma persona vai viņas apgādnieki no saviem līdzekļiem, ja mērķa grupas persona nespēj samaksāt par minēto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salāgot MK noteikumu 4.2. punktā precizēto mērķa grupu ar anotācijā norādīto. Anotācijā šobrīd ir ierakstīta mērķa grupa, kas atbilst iepriekšējai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Akmentiņa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līdz 2026. gada 30. jūnijam – jaunu vietu nodrošināšana 408 senioriem tādu ilgtermiņa aprūpes pakalpojumu saņemšanai, kas pietuvināti ģimeniskai videi.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rādītāju aizstājot vārdu "senioriem" ar vārdiem "pensijas vecuma personām", lai nodrošinātu atbilstību noteikumu 4.punktā norādītai mērķa grupai un Atveseļošanas un noturības mehānisma plānā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līdz 2026. gada 30. jūnijam –– jaunu vietu nodrošināšana 408 pensijas vecuma personām tādu ilgtermiņa aprūpes pakalpojumu saņemšanai, kas pietuvināti ģimeniskai videi.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w:t>
            </w:r>
            <w:r w:rsidR="00000000" w:rsidRPr="00000000" w:rsidDel="00000000">
              <w:rPr>
                <w:vertAlign w:val="superscript"/>
                <w:rtl w:val="0"/>
              </w:rPr>
              <w:t xml:space="preserve">1</w:t>
            </w:r>
            <w:r w:rsidR="00000000" w:rsidRPr="00000000" w:rsidDel="00000000">
              <w:rPr>
                <w:rtl w:val="0"/>
              </w:rPr>
              <w:t xml:space="preserve"> šo noteikumu 31.1. un 31.2. minētās atbalstāmās darbības īstenošanai nodrošina teritorijas labiekārtošanu tādā apmērā, lai izveidotu teritoriju atpūtas un brīvā laika pavadīšanai, rehabilitācijai un rekreācijai, nodrošinātu vides piekļūstamību šo noteikumu 4. punktā minētajām mērķa grupas personām un citiem teritorijas un būves lietotājiem un paredzētu nepieciešamās piekļuves līdz zemes vienībai un zemes vienībā, uz kuras tiek veidota ģimeniskai videi pietuvinātā pakalpojuma infrastruktūra, kas ietver arī servitūta ceļa nodibināšanu un servitūta ceļu būvniecību, un funkcionāli nepieciešamo inženiertehnisko apgādi arī ārpus īpašumā vai lietošanā esošās zemes 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attiecībā uz 14.1. punktā minētajiem finansējuma saņēmējiem, lai nodrošinātu nepārprotamu skaidrību un sakritību ar noteikumu projekta anotācijā sniegto informācija, ka, ja tiek veikti darbi, kas saistīti ar inženiertīklu pieslēgšanu, tad nepieciešamības gadījumā pēc darbiem, kas ir ietekmējuši zemes virsmu vai segumu, ir jāveic nepieciešamie atjaunošanas darbi, lai nodrošinātu, ka segums atbilst iepriekšējai kvalitātei un izskatam. Līdz ar to projekta sastāvdaļā ir iekļaujami būvdarbi ārpus finansējuma saņēmēja īpašumā vai lietošanā nodotās zemes vienības tikai tādā apmērā, lai nodrošinātu ceļa atjaunošanu iepriekšējā stāvoklī.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punkts palielina projekta attiecināmas izmaksas, kas nav Atveseļošanas un noturības mehānisma finansētas, līdz ar to projekta īstenotājam ir jālemj par šo izmaksu finansēšanas avotiem, tajā skaitā pašvaldībām par līdzfinansējuma iespējām no budžeta, vai nepieciešamības gadījumā par aizņēmumu, stingri ievērojot likumā “Par valsts budžetu 2025. gadam un budžeta ietvaru 2025., 2026. un 2027. gadam” noteiktos aizņemšanās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izslēgšanas kritērija 1.1. redakciju, ņemot vērā, ka kritērijs paredz izvērtēt atbilstību uz projekta iesnieguma iesniegšanas un atbalsta piešķiršana brīdi, savukārt 3.1.2.3.i. investīcijas otrās kārtas atlase ir noslēgusies un projekti ir apstiprināti.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kritērijs tomēr tiks precizēts, lūdzam papildināt anotāciju ar izvērtējumu par izmaiņu projektu iesniegumu vērtēšanas kritērijos ietekmi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vērtēšanā esošajiem projektu iesniegumiem;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vēl neiesniegtajiem projektu iesniegumiem;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īstenošanā esošajiem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25-TA-295</w:t>
    </w:r>
    <w:r>
      <w:br/>
    </w:r>
    <w:r w:rsidR="00000000" w:rsidRPr="00000000" w:rsidDel="00000000">
      <w:rPr>
        <w:rtl w:val="0"/>
      </w:rPr>
      <w:t xml:space="preserve">Izdrukāts 26.02.2025. 21.03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25-TA-295</w:t>
    </w:r>
    <w:r>
      <w:br/>
    </w:r>
    <w:r w:rsidR="00000000" w:rsidRPr="00000000" w:rsidDel="00000000">
      <w:rPr>
        <w:rtl w:val="0"/>
      </w:rPr>
      <w:t xml:space="preserve">Izdrukāts 26.02.2025. 21.03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Atzinumi_25-TA-295.docx</dc:title>
</cp:coreProperties>
</file>

<file path=docProps/custom.xml><?xml version="1.0" encoding="utf-8"?>
<Properties xmlns="http://schemas.openxmlformats.org/officeDocument/2006/custom-properties" xmlns:vt="http://schemas.openxmlformats.org/officeDocument/2006/docPropsVTypes"/>
</file>