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noteikti ceļi un tos aptverošā teritorija, par kuru lietošanu maksājama pašvaldības ceļu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saprotams ar vārdiem “ceļi un tos aptverošā teritorija”. Vai ceļu aptverošā teritorijā iekļaujas arī, piemēram, laukumi, publiski iekšpagalmi, atpūtas zonas u. 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ceļu nodevas administrēšanas un transportlīdzekļu iebraukšanas kontroles nodrošināšanai pašvaldība var izmantot datus no šādām valsts un pašvaldības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likuma palīdzību paredzēt iespēju pašvaldībām ne tikai piekļūt norādītajām informācijas sistēmām, bet to veikt tā, lai pašvaldības varētu automātiski iegūt datus par transportlīdzekļiem un lai šie dati būtu pieejami reāllaikā braucēju tūlītējai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informācijas sistēmu pilnveidošanu, lai būtu iespējams iegūt datus arī par ārvalstīs reģistrētiem transportlīdzekļiem.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22.04.2024.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22.04.2024.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