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ziņojumā atsauces uz Eiropas Savienības tiesību aktiem (</w:t>
            </w:r>
            <w:r w:rsidR="00000000" w:rsidRPr="00000000" w:rsidDel="00000000">
              <w:rPr>
                <w:u w:val="single"/>
                <w:rtl w:val="0"/>
              </w:rPr>
              <w:t xml:space="preserve">sk. informatīvā ziņojuma 3.-4.lpp.</w:t>
            </w:r>
            <w:r w:rsidR="00000000" w:rsidRPr="00000000" w:rsidDel="00000000">
              <w:rPr>
                <w:rtl w:val="0"/>
              </w:rPr>
              <w:t xml:space="preserve">) noformēt atbilstoši Ministru kabineta 2009. gada 3. februāra noteikumu Nr. 108 "Normatīvo aktu projektu sagatavošanas noteikumi”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w:t>
            </w:r>
            <w:r w:rsidR="00000000" w:rsidRPr="00000000" w:rsidDel="00000000">
              <w:rPr>
                <w:i w:val="1"/>
                <w:rtl w:val="0"/>
              </w:rPr>
              <w:t xml:space="preserve">Eiropas Parlamenta un Padomes 2024. gada 11. aprīļa Regula (ES) 2024/1252, ar ko izveido satvaru tam, kā nodrošināt drošu un ilgtspējīgu apgādi ar kritiski svarīgām izejvielām, un groza Regulas (ES) Nr. 168/2013, (ES) 2018/858, (ES) 2018/1724 un (ES) 2019/1020</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līdz 2026. gada 1. jūnijam un pēc tam regulāri reizi trijos gados  sagatavot ziņojumu par  mērķu, uzdevumu un aktivitāšu izpildi, un publicēt Ekonomikas ministrijas interneta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tiek noteikti vairāki uzdevumi, proti, ne tikai Ekonomiskas ministrijai, bet arī, piemēram, Izglītības un zinātnes ministrijai. Ievērojot minēto, aicinām izvērtēt un nepieciešamības gadījumā atbilstoši papildināt lēmuma projektu, norādot, ka attiecīgās institūcijas veic paredzētos uzdevumus atbilstoši informatīvajā ziņojumā noteiktajam atbildību sadalījumam.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07.08.2025.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07.08.2025.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