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uz atkārtoto saskaņošanu nodotajā projekta redakcijā (tostarp, bet ne tikai, izmaiņas projekta vienību numerācijā), aicinām aktualizēt anotācijas 5.4. sadaļas 1.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projekta 33. punkta apakšpunktos netiek vismaz daļēji pārrakstīti Eiropas Komisijas 2014. gada 17. jūnija Regulas (ES) Nr. 651/2014, ar ko noteiktas atbalsta kategorijas atzīst par saderīgām ar iekšējo tirgu, piemērojot Līguma 107. un 108. pantu 25. panta 3. punkta apakšpunkti.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Reizē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 Attiecīgi aicinām izvērtēt un, ja projektā tiek pārrakstītas kādas regulas vienība vai vienības, lūdzam sniegt iepriekš minētajiem apsvērumiem atbilstošu pamatojumu anotācijā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08.07.2024.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08.07.2024.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