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anotācijas 3.sadaļas 6.2.apakšpunktā sniegtā informācija nav aprēķins, attiecīgi lūdzam minētajā punktā sniegt Būvniecības valsts kontroles birojam 2023.gadā nepieciešamā finansējuma apmēra detalizētu aprēķinu, kā arī norādīt, ka tas tiks nodrošināts no likumprojektā “Par valsts budžetu 2023.gadam un budžeta ietvaru 2023., 2024. un 2025.gadam” Klimata un enerģētikas ministrijas apakšprogrammai 33.01.00 "Emisijas kvotu izsolīšanas instrumenta administrācija" paredzētā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15.02.2023.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15.02.2023.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Atzinumi_23-TA-161.docx</dc:title>
</cp:coreProperties>
</file>

<file path=docProps/custom.xml><?xml version="1.0" encoding="utf-8"?>
<Properties xmlns="http://schemas.openxmlformats.org/officeDocument/2006/custom-properties" xmlns:vt="http://schemas.openxmlformats.org/officeDocument/2006/docPropsVTypes"/>
</file>