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25-TA-532: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2024. gada 14. maija noteikumos Nr. 289 "Noteikumi par valsts metroloģiskajai kontrolei pakļauto mērīšanas līdzekļu sarakstu"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tekstā - LDDK) ir iepazinusies ar Ekonomikas ministrijas (turpmāk tekstā - EM) sagatavoto normatīvā akta projektu “Noteikumi par valsts metroloģiskajai kontrolei pakļauto mērīšanas līdzekļu sarakstu” (turpmāk tekstā - Projekts) un konceptuāli atbalsta EM priekšlikumu daudzdzīvokļu dzīvojamās mājas dzīvokļos uzstādīto mērierīču, kuras izmanto iekšējai dzīvojamās mājas dzīvokļu maksājumu sadalei verifikācijas nosacījumu noteikšanu pārcelt dzīvokļu īpašnieku kopības kompetencē. Vienlaikus LDDK izsaka iebildumu pret Noteikumu Pielikuma 7.punktu.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Pielikuma 7.punkta nosacījumiem atbilstīgas mērīšanas ierīces var tikt izmantotas gan norēķiniem starp siltumenerģijas piegādātāju un daudzdzīvokļu māju, kā vienotu patērētāju, gan tikt izmantotas tikai savstarpējo norēķinu sadalījuma funkcijai starp dzīvokļiem. LDDK ieskatā dzīvojamo māju ievadā uzstādītajām mērīšanas ierīcēm obligātās prasības var būt atbilstīgas Projektā paredzētajām, savukārt dzīvokļos uzstādīto mērīšanas ierīču verificēšanas nosacījumu noteikšana būtu jānodod dzīvokļu īpašnieku kopības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r>
              <w:tab/>
            </w:r>
            <w:r>
              <w:br/>
            </w:r>
            <w:r w:rsidR="00000000" w:rsidRPr="00000000" w:rsidDel="00000000">
              <w:rPr>
                <w:rtl w:val="0"/>
              </w:rPr>
              <w:t xml:space="preserve">Izteikt 7.punkta Mērīšanas līdzekļa nosaukuma sadaļu šādā redakcijā:</w:t>
            </w:r>
            <w:r>
              <w:tab/>
            </w:r>
            <w:r>
              <w:br/>
            </w:r>
            <w:r w:rsidR="00000000" w:rsidRPr="00000000" w:rsidDel="00000000">
              <w:rPr>
                <w:rtl w:val="0"/>
              </w:rPr>
              <w:t xml:space="preserve">“Siltumenerģijas skaitītāji atbilstoši to nominālajam diametram (DN), izņemot daudzdzīvokļu dzīvojamās mājas dzīvokļos uzstādītos skaitītājus”;</w:t>
            </w:r>
            <w:r>
              <w:tab/>
            </w:r>
            <w:r>
              <w:br/>
            </w:r>
            <w:r>
              <w:tab/>
            </w:r>
            <w:r>
              <w:br/>
            </w:r>
            <w:r w:rsidR="00000000" w:rsidRPr="00000000" w:rsidDel="00000000">
              <w:rPr>
                <w:b w:val="1"/>
                <w:rtl w:val="0"/>
              </w:rPr>
              <w:t xml:space="preserve">Priekšlikums</w:t>
            </w:r>
            <w:r>
              <w:tab/>
            </w:r>
            <w:r>
              <w:br/>
            </w:r>
            <w:r w:rsidR="00000000" w:rsidRPr="00000000" w:rsidDel="00000000">
              <w:rPr>
                <w:rtl w:val="0"/>
              </w:rPr>
              <w:t xml:space="preserve">7.1.punkta Mērīšanas līdzekļa nosaukuma sadaļu papildināt ar robežlielumiem;</w:t>
            </w:r>
            <w:r>
              <w:tab/>
            </w:r>
            <w:r>
              <w:br/>
            </w:r>
            <w:r>
              <w:tab/>
            </w:r>
            <w:r>
              <w:br/>
            </w:r>
            <w:r w:rsidR="00000000" w:rsidRPr="00000000" w:rsidDel="00000000">
              <w:rPr>
                <w:b w:val="1"/>
                <w:rtl w:val="0"/>
              </w:rPr>
              <w:t xml:space="preserve">Priekšlikums</w:t>
            </w:r>
            <w:r>
              <w:tab/>
            </w:r>
            <w:r>
              <w:br/>
            </w:r>
            <w:r w:rsidR="00000000" w:rsidRPr="00000000" w:rsidDel="00000000">
              <w:rPr>
                <w:rtl w:val="0"/>
              </w:rPr>
              <w:t xml:space="preserve">Izteikt 4.5.punkta Mērīšanas līdzekļa nosaukuma sadaļu šādā redakcijā:</w:t>
            </w:r>
            <w:r>
              <w:tab/>
            </w:r>
            <w:r>
              <w:br/>
            </w:r>
            <w:r w:rsidR="00000000" w:rsidRPr="00000000" w:rsidDel="00000000">
              <w:rPr>
                <w:rtl w:val="0"/>
              </w:rPr>
              <w:t xml:space="preserve">“mehāniskie ūdens patēriņa skaitītāji, izņemot daudzdzīvokļu dzīvojamās mājas dzīvokļos uzstādītos skaitītājus”</w:t>
            </w:r>
            <w:r>
              <w:tab/>
            </w:r>
            <w:r>
              <w:br/>
            </w:r>
            <w:r>
              <w:tab/>
            </w:r>
            <w:r>
              <w:br/>
            </w:r>
            <w:r w:rsidR="00000000" w:rsidRPr="00000000" w:rsidDel="00000000">
              <w:rPr>
                <w:b w:val="1"/>
                <w:rtl w:val="0"/>
              </w:rPr>
              <w:t xml:space="preserve">Priekšlikums</w:t>
            </w:r>
            <w:r>
              <w:tab/>
            </w:r>
            <w:r>
              <w:br/>
            </w:r>
            <w:r w:rsidR="00000000" w:rsidRPr="00000000" w:rsidDel="00000000">
              <w:rPr>
                <w:rtl w:val="0"/>
              </w:rPr>
              <w:t xml:space="preserve">Izteikt 4.6.punkta Mērīšanas līdzekļa nosaukuma sadaļu šādā redakcijā:</w:t>
            </w:r>
            <w:r>
              <w:tab/>
            </w:r>
            <w:r>
              <w:br/>
            </w:r>
            <w:r w:rsidR="00000000" w:rsidRPr="00000000" w:rsidDel="00000000">
              <w:rPr>
                <w:rtl w:val="0"/>
              </w:rPr>
              <w:t xml:space="preserve">“elektromagnētiskie un ultraskaņas ūdens patēriņa skaitītāji, izņemot daudzdzīvokļu dzīvojamās mājas dzīvokļos uzstādītos skaitītājus”;</w:t>
            </w:r>
            <w:r>
              <w:tab/>
            </w:r>
            <w:r>
              <w:br/>
            </w:r>
            <w:r>
              <w:tab/>
            </w:r>
            <w:r>
              <w:br/>
            </w:r>
            <w:r w:rsidR="00000000" w:rsidRPr="00000000" w:rsidDel="00000000">
              <w:rPr>
                <w:b w:val="1"/>
                <w:rtl w:val="0"/>
              </w:rPr>
              <w:t xml:space="preserve">Priekšlikums</w:t>
            </w:r>
            <w:r>
              <w:tab/>
            </w:r>
            <w:r>
              <w:br/>
            </w:r>
            <w:r w:rsidR="00000000" w:rsidRPr="00000000" w:rsidDel="00000000">
              <w:rPr>
                <w:rtl w:val="0"/>
              </w:rPr>
              <w:t xml:space="preserve">2.3. punkta Verificēšanas periodiskuma sadaļā skaitli “3” aizstāt ar skaitli “5”.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25-TA-532</w:t>
    </w:r>
    <w:r>
      <w:br/>
    </w:r>
    <w:r w:rsidR="00000000" w:rsidRPr="00000000" w:rsidDel="00000000">
      <w:rPr>
        <w:rtl w:val="0"/>
      </w:rPr>
      <w:t xml:space="preserve">Izdrukāts 25.04.2025. 18.16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25-TA-532</w:t>
    </w:r>
    <w:r>
      <w:br/>
    </w:r>
    <w:r w:rsidR="00000000" w:rsidRPr="00000000" w:rsidDel="00000000">
      <w:rPr>
        <w:rtl w:val="0"/>
      </w:rPr>
      <w:t xml:space="preserve">Izdrukāts 25.04.2025. 18.16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Atzinumi_25-TA-532.docx</dc:title>
</cp:coreProperties>
</file>

<file path=docProps/custom.xml><?xml version="1.0" encoding="utf-8"?>
<Properties xmlns="http://schemas.openxmlformats.org/officeDocument/2006/custom-properties" xmlns:vt="http://schemas.openxmlformats.org/officeDocument/2006/docPropsVTypes"/>
</file>