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 </w:t>
            </w:r>
            <w:r w:rsidR="00000000" w:rsidRPr="00000000" w:rsidDel="00000000">
              <w:rPr>
                <w:rtl w:val="0"/>
              </w:rPr>
              <w:t xml:space="preserve">panta</w:t>
            </w:r>
            <w:r w:rsidR="00000000" w:rsidRPr="00000000" w:rsidDel="00000000">
              <w:rPr>
                <w:rtl w:val="0"/>
              </w:rPr>
              <w:t xml:space="preserve"> ceturto daļu un </w:t>
            </w:r>
            <w:r w:rsidR="00000000" w:rsidRPr="00000000" w:rsidDel="00000000">
              <w:rPr>
                <w:rtl w:val="0"/>
              </w:rPr>
              <w:t xml:space="preserve">Klimatnoturības un ekonomiskās ilgtspējas likuma</w:t>
            </w:r>
            <w:r w:rsidR="00000000" w:rsidRPr="00000000" w:rsidDel="00000000">
              <w:rPr>
                <w:rtl w:val="0"/>
              </w:rPr>
              <w:t xml:space="preserve"> 18. 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 joprojām uztur pēc būtības iepriekš sniegto iebildumu par Modernizācijas fonda finansējuma sadalījumu starp projektu iesniedzēju grupām. Izziņā LPS iepriekšējais iebildums norādīts ka ņemts vērā, anotāciju papildinot ar skaidrojumu, ka pašvaldībām un tiešās pārvaldes iestādēm paredzēti 1 000 000 euro, savukārt komersantiem, tostarp pašvaldību kapitālsabiedrībām, — 4 000 000 euro. Tomēr noteikumu projektā finansējuma sadalījums nav mainīts un nav veikts pašvaldību un pašvaldību kapitālsabiedrību faktiskā un prognozētā pieprasījuma izvērtējums. LPS kā risku redz ka vienlaikus ar noteikumu projektu 4 000 000 euro finansējuma grupas saņēmēju loks tiek būtiski paplašināts, </w:t>
            </w:r>
            <w:r w:rsidR="00000000" w:rsidRPr="00000000" w:rsidDel="00000000">
              <w:rPr>
                <w:b w:val="1"/>
                <w:u w:val="single"/>
                <w:rtl w:val="0"/>
              </w:rPr>
              <w:t xml:space="preserve">tajā papildus iekļaujot lauksaimniecības produktu primāros ražotājus un lauksaimniecības un mežsaimniecības pakalpojumu kooperatīvās sabiedrības.</w:t>
            </w:r>
            <w:r w:rsidR="00000000" w:rsidRPr="00000000" w:rsidDel="00000000">
              <w:rPr>
                <w:rtl w:val="0"/>
              </w:rPr>
              <w:t xml:space="preserve"> Tādējādi pašvaldību kapitālsabiedrībām palielinās konkurence par finansējumu, bet tām netiek garantēta atsevišķa 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pašvaldību kapitālsabiedrības nodrošina sabiedrībai būtiskus pakalpojumus un pašvaldību autonomo funkciju izpildi, tostarp sabiedriskā transporta, ūdenssaimniecības, siltumapgādes, atkritumu apsaimniekošanas un teritoriju uzturēšanas jomā. Šo pakalpojumu nodrošināšanai izmantotā transporta elektrifikācija rada ilgtermiņa sabiedrisko labumu un veicina pašvaldību, reģionālo un valsts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lūdz pirms noteikumu projekta tālākas virzības apzināt pašvaldību un pašvaldību kapitālsabiedrību faktisko un prognozēto projektu pieprasījumu un izvērtēt iespēju pašvaldībām un pašvaldību kapitālsabiedrībām noteikt atsevišķu un pietiekamu garantēto finansējuma apjomu. LPS redzējumā svarīgi būtu izveidot arī pašvaldību kapitālsabiedrībām atsevišķu apakškvotu noteikumu 13.2. apakšpunktā paredzētā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būtu nepieciešams papildināt anotāciju ar lauksaimniecības nozares saņēmēju iekļaušanas ietekmes izvērtējumu uz finansējuma pieejamību pašvaldību kapitālsabiedrībām un izvērtēt vai EIB apstiprinātais investīciju priekšlikums pieļauj finansējuma proporciju maiņu vai garantētas apakškvotas noteikšanu pašvaldību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10.08.2026.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10.08.2026.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