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34.</w:t>
            </w:r>
            <w:r w:rsidR="00000000" w:rsidRPr="00000000" w:rsidDel="00000000">
              <w:rPr>
                <w:b w:val="1"/>
                <w:vertAlign w:val="superscript"/>
                <w:rtl w:val="0"/>
              </w:rPr>
              <w:t xml:space="preserve">1</w:t>
            </w:r>
            <w:r w:rsidR="00000000" w:rsidRPr="00000000" w:rsidDel="00000000">
              <w:rPr>
                <w:b w:val="1"/>
                <w:rtl w:val="0"/>
              </w:rPr>
              <w:t xml:space="preserve"> pants. Paziņojums par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komisija nosūta īpašumā līdz dzīvojamās mājas privatizācijai nodotā dzīvokļa, mākslinieka darbnīcas vai neapdzīvojamās telpas īpašniekam, kurš par attiecīgo privatizēto objektu nav noslēdzis pirkuma līgumu, paziņojumu par pienākumu nostiprināt īpašuma tiesības zemesgrāmatā un izziņu par dzīvoklim, mākslinieka darbnīcai vai neapdzīvojamai telpai piekrītošām dzīvojamās mājas kopīpašuma, palīgēku un zemesgabala domājamām  daļām, ja tie ietilpst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iepriekš sniegtais Tieslietu ministrijas (Valsts zemes dienesta) iebildums. Tā kā Valsts un pašvaldību dzīvojamo māju privatizācijas pabeigšanas likums paredz, ka dzīvokļa īpašuma reģistrāciju Nekustamā īpašuma valsts kadastra informācijas sistēmā (turpmāk - Kadastra informācijas sistēma) ierosina pašvaldība, un atbilstoši likuma "Par nekustamā īpašuma ierakstīšanu zemesgrāmatās" 45. pantam, ka īpašuma tiesības uz dzīvokļiem nostiprināmas zemesgrāmatā, ja dzīvojamā māja ir ierakstīta zemesgrāmatā un dzīvokļa īpašumi reģistrēti Kadastra informācijas sistēmā, tad lūdzam likumprojekta 3. pantā ietvert nosacījumu, ka privatizācijas komisija paziņojumu par pienākumu nostiprināt īpašuma tiesības zemesgrāmatā nosūta pēc dzīvokļa īpašuma reģistrācijas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Ozola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bscript"/>
                <w:rtl w:val="0"/>
              </w:rPr>
              <w:t xml:space="preserve">1</w:t>
            </w:r>
            <w:r w:rsidR="00000000" w:rsidRPr="00000000" w:rsidDel="00000000">
              <w:rPr>
                <w:rtl w:val="0"/>
              </w:rPr>
              <w:t xml:space="preserve">) Īpašuma tiesības zemesgrāmatā uz īpašumā līdz dzīvojamās mājas privatizācijai nodoto dzīvokli, mākslinieka darbnīcu vai neapdzīvojamo telpu nostiprināmas, pamatojoties uz Valsts zemes dienesta izziņu par īpašuma tiesībām uz dzīvokli, mākslinieka darbnīcu vai neapdzīvojamo telpu līdz dzīvojamās mājas privatizācijai un privatizācijas komisijas izziņu par dzīvoklim, mākslinieka darbnīcai vai neapdzīvojamai telpai piekrītošām dzīvojamās mājas kopīpašuma, palīgēku un zemesgabala domājamām daļām, ja tie ietilpst nekustamā īpašuma sastāvā.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vērā neņemto Tieslietu ministrijas (Valsts zemes dienesta) iepriekš izteikto iebildumu, ka "Tā kā likuma "Par valsts un pašvaldību dzīvojamo māju privatizāciju" 48. panta piektā daļa nosaka, ka privatizāciju nepabeigušām mājām domājamās daļas nosaka privatizācijas komisijas, tad nepieciešams stiprināt likumprojektā pienākumu privatizācijas komisijai pārbaudīt domājamo daļu atbilstību atbilstoši Dzīvokļa īpašuma likuma 5. panta trešā daļā noteiktajam, un tās pārrēķināt nepieciešamības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Ozola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12.06.2023.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23-TA-695</w:t>
    </w:r>
    <w:r>
      <w:br/>
    </w:r>
    <w:r w:rsidR="00000000" w:rsidRPr="00000000" w:rsidDel="00000000">
      <w:rPr>
        <w:rtl w:val="0"/>
      </w:rPr>
      <w:t xml:space="preserve">Izdrukāts 12.06.2023.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Atzinumi_23-TA-695.docx</dc:title>
</cp:coreProperties>
</file>

<file path=docProps/custom.xml><?xml version="1.0" encoding="utf-8"?>
<Properties xmlns="http://schemas.openxmlformats.org/officeDocument/2006/custom-properties" xmlns:vt="http://schemas.openxmlformats.org/officeDocument/2006/docPropsVTypes"/>
</file>