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Noteikumu projekta anotācijas 2.sadaļas par tiesību akta ietekmi uz tautsaimniecības attīstību un administratīvo slogu norādīto informāciju, skaidrojot  kāda ietekme būs pārdalītajam finansējumam un investīcijām kopumā uz tautsaimniecību. Skaidrojam, ka piemēram, investīcijas 2.1.2.1. projekta “Digitālo pakalpojumu platforma biznesa attīstības veicināšanai” ietvaros uzņēmējiem būs pieejami klientu orientēti pakalpojumi un tie būs pieejami vienuviet, līdz ar to uzņēmēju pusē  samazināsies laika patēriņš, lai meklētu informāciju un saņemtu šādu pakalpojumu, kas nozīmē pieejamākus pakalpojumus uzņēmējiem, pievilcīgāku uzņēmējdarbības vidi.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20.12.2023. 14.20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20.12.2023. 14.20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Atzinumi_23-TA-1729.docx</dc:title>
</cp:coreProperties>
</file>

<file path=docProps/custom.xml><?xml version="1.0" encoding="utf-8"?>
<Properties xmlns="http://schemas.openxmlformats.org/officeDocument/2006/custom-properties" xmlns:vt="http://schemas.openxmlformats.org/officeDocument/2006/docPropsVTypes"/>
</file>