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23-TA-1375: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Valsts sekretāru sanāksmes 30.03.2023. protokola Nr.12 4.§ 1.punktu tiesību aktu projekti, kuru turpmākai ieviešanai būs nepieciešama papildu pastāvīgu amata vietu izveide, obligāti saskaņojami ar Valsts kanceleju.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15.2.1. iepirkumu līgumu izmaksas šo noteikumu </w:t>
            </w:r>
            <w:r w:rsidR="00000000" w:rsidRPr="00000000" w:rsidDel="00000000">
              <w:rPr>
                <w:rtl w:val="0"/>
              </w:rPr>
              <w:t xml:space="preserve">13.</w:t>
            </w:r>
            <w:r w:rsidR="00000000" w:rsidRPr="00000000" w:rsidDel="00000000">
              <w:rPr>
                <w:rtl w:val="0"/>
              </w:rPr>
              <w:t xml:space="preserve"> 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iepirkumu līgumu izmaksas būtu attiecināmas noteikumu projekta 13.6. apakšpunktā minētās atbalstāmās darbības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15.2.4. normatīvajos aktos, kas nosaka kārtību, kādā veicama obligātā veselības pārbaude, paredzēto veselības pārbaužu izmaksas projekta personālam, ja tās nav iekļautas šo noteikumu 16.1. apakšpunktā minētās veselības apdrošināšanas izmaksās;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lielākoties izdevumus par obligāto veselības pārbaudi segs veselības apdrošināšana, savukārt, pieņemot darbā jaunu darbinieku, var būt nepieciešamība veikt pirmreizēju obligāto veselības pārbaudi, līdz ar to paredzamais izdevumu apmērs ir salīdzinoši neliels. Ņemot vērā minēto, aicinām obligātās veselības pārbaudes izmaksas segt no citiem finanšu avotiem, piemēram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šo izmaksu specifiku, t.i., plānojas daudz sīku maksājumu, lai neradītu lieku administratīvo slogu, lūdzam kancelejas preču iegādes izmaksas attiecināt no netiešajām izmaksām, kurām pēc būtības arī atbilst šāda veida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pamatot telpu nomas izmaksu attiecināšanu no 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Viāna Ruba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atsauci anotācijā uz izvērtējumu “Vienkāršoto izmaksu piemērošanas iespējas 2021.-2027. gada ES fondu plānošanas periodā”, vēršam uzmanību, ka tas satur izvērtētāju kā ekspertu viedokli, bet nav pietiekams pamatojums vienkāršoto izmaksu nepiemērošanai, tāpēc lūdzam Labklājības ministriju kā atbildīgo iestādi stiprināt argumentāciju plašākas vienkāršoto izmaksu nepiemērošanas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 gada 13. jūlija sēdes protokollēmumā (prot. Nr. 36 85. § 3. punkts) noteikto SAM MK noteikumos ir jāparedz nepieciešamību finansējuma saņēmējam veikt projekta izmaksu un ieguvumu analīzi, ja projekta kopējās izmaksas ir lielākas par 1 miljonu, vai arī Atbildīgā iestāde SAM MK noteikumu anotācijā pamato kādēļ var nepiemērot minēto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SAMP 4.3.3.7.pasākuma “Valsts darba inspekcijas veiktspējas stiprināšana un pakalpojumu modernizēšana” īstenošanas noteikumu projektā nav iekļauta prasība veikt projekta izmaksu un ieguvumu analīzi, kā arī šo noteikumu anotācijā sabiedrības sociālekonomisko ieguvumu pamatojums kopā ar aprēķinu nav ietverts, norādot, ka nav iespējams monetāri atspoguļot ieguvumus, realizējot 4.3.3.7. pasākumu, jo  nelaimes gadījumos cietušo, kā arī arodslimību skaita palielinājums vai samazinājums nav prognozējams, bet šāds apgalvojums nevar būt kā pamatojums kādēļ nevar veikt projekta izmaksu un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Ministru kabineta 2023. gada 13. jūlija sēdes protokollēmumā (prot. Nr. 36 85. § 3. punkts) noteikto lūdzam papildināt noteikumu projektu ar normu, kas paredz, ka finansējuma saņēmējs veic izmaksu un ieguvumu analīzi vai arī šo noteikumu anotācijai ir jāpievieno projekta izmaksu un ieguvumu analīzes aprēķini un jāprecizē anotācijas apraksts, papildinot to ar projekta izmaksu un ieguvumu analīzes aprēķinu rezultātiem pamatojot sabiedrības sociālekonomisko ieguvumu no šīm investīcijām.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Pērkons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pēc projekta noslēguma Labklājības ministrija (turpmāk  - LM) projekta rezultātu ilgtspējas uzturēšanai izmantos valsts budžeta finansējumu atbilstoši MK 2023. gada 17. janvāra noteikumu Nr. 15 “Maksimāli pieļaujamā valsts budžeta izdevumu kopapjoma un katrai ministrijai un citai centrālajai valsts iestādei paredzētā izdevumu kopējā apjoma noteikšanas kārtība vidējam termiņam” (turpmāk – MKN Nr.15) 9.4.apakšpunktā noteiktajam, pievienojot detalizētu izmaksu aprēķinu un Vides aizsardzības un reģionālās attīstības ministrijas atzinumu. Norādām, ka atbilstoši MKN Nr.15 9.4.apakšpunktam LM Finanšu ministrijā tikai iesniegs informāciju LM pamatbudžeta bāzes projekta sagatavošanai n+1, n+2 un n+3 gadam, kuru vienlaikus nepieciešams pamatot ar detalizētiem aprēķiniem. Savukārt, par finansējuma piešķiršanu Ministru kabinets lems valsts pamatbudžeta bāzes projekta apstiprināšanas procesā. Līdz ar to attiecīgi precizējama anotācijas 3.sadaļas punktā “Cita informācija”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3.sadaļas 7.punktu ar informāciju par papildu 2 amatu vietām, kuras ir nepieciešamas, lai pēc projekta noslēguma nodrošinātu Valsts darba inspekcijas informācijas sistēmas tehnisko uzraudzību, atbalstu, analīzi, prasību izstrādi, piegāžu testēšanu, sniegtu atbalstu iestādes darbiniekiem un ārējiem sistēmas lietotājiem. Vienlaikus nepieciešams precizēt anotācijas 3.sadaļas punktu “Cita informācija”, norādot, no kuras budžeta iestādes tiks pārdalītas amata vietas un kādiem mērķiem tiks novirzīts attiecīgajā Labklājības ministrijas budžeta apakšprogrammā atbrīvojies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5.rindkopā pirms vārdiem “350 223 </w:t>
            </w:r>
            <w:r w:rsidR="00000000" w:rsidRPr="00000000" w:rsidDel="00000000">
              <w:rPr>
                <w:i w:val="1"/>
                <w:rtl w:val="0"/>
              </w:rPr>
              <w:t xml:space="preserve">euro</w:t>
            </w:r>
            <w:r w:rsidR="00000000" w:rsidRPr="00000000" w:rsidDel="00000000">
              <w:rPr>
                <w:rtl w:val="0"/>
              </w:rPr>
              <w:t xml:space="preserve">” lietot vārdus “ne vairāk kā” atbilstoši Ministru kabineta sēdes protokollēmuma projekta 3.punktā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4.3.3.7. pasākuma “Valsts darba inspekcijas veiktspējas stiprināšana un pakalpojumu modernizēšana”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anotācijas 3.sadaļas punktā “Cita informācija” norādītajam pēc projekta noslēguma LM projekta rezultātu ilgtspējas uzturēšanai ir nepieciešamas 2 amata vietas, Ministru kabineta sēdes protokollēmuma projekts papildināms ar atsevišķu punktu atbilstoši Valsts sekretāru sanāksmes 30.03.2023. protokola Nr.12 4.§ 2.punktam.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ir sasniedzami šādi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nacionālo rādītāju un uzskaitīt informāciju par dalībniekiem, ņemot vērā, ka noteikumu projektā paredzēto Valsts darba inspekcijas (turpmāk - VDI) nodarbināto personu profesionālo spēju pilnveidi.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ir atbalstāmas šādas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noteikumu projekta 13.punkta apakšpunktos minēto atbalstāmo darbību aprakstu: 1) papildinot vai precizējot noteikumu projektu; vai 2) sniegt skaidrojumu anotācijā, piemēram, vai zem atbalstāmās darbības "13.3. Valsts darba inspekcijas integrētās informācijas sistēmas pilnveide un elektronisko rīku  pilnveide un izstrāde" paredzēts </w:t>
            </w:r>
            <w:r w:rsidR="00000000" w:rsidRPr="00000000" w:rsidDel="00000000">
              <w:rPr>
                <w:b w:val="1"/>
                <w:rtl w:val="0"/>
              </w:rPr>
              <w:t xml:space="preserve">pilnveidot datu analītikas rīku</w:t>
            </w:r>
            <w:r w:rsidR="00000000" w:rsidRPr="00000000" w:rsidDel="00000000">
              <w:rPr>
                <w:rtl w:val="0"/>
              </w:rPr>
              <w:t xml:space="preserve">, daļēji </w:t>
            </w:r>
            <w:r w:rsidR="00000000" w:rsidRPr="00000000" w:rsidDel="00000000">
              <w:rPr>
                <w:b w:val="1"/>
                <w:rtl w:val="0"/>
              </w:rPr>
              <w:t xml:space="preserve">automatizējot konsultatīvā centra darbības</w:t>
            </w:r>
            <w:r w:rsidR="00000000" w:rsidRPr="00000000" w:rsidDel="00000000">
              <w:rPr>
                <w:rtl w:val="0"/>
              </w:rPr>
              <w:t xml:space="preserve">, izstrādājot, digitalizējot un atjauninot </w:t>
            </w:r>
            <w:r w:rsidR="00000000" w:rsidRPr="00000000" w:rsidDel="00000000">
              <w:rPr>
                <w:b w:val="1"/>
                <w:rtl w:val="0"/>
              </w:rPr>
              <w:t xml:space="preserve">e-apmācību sistēmu</w:t>
            </w:r>
            <w:r w:rsidR="00000000" w:rsidRPr="00000000" w:rsidDel="00000000">
              <w:rPr>
                <w:rtl w:val="0"/>
              </w:rPr>
              <w:t xml:space="preserve">, </w:t>
            </w:r>
            <w:r w:rsidR="00000000" w:rsidRPr="00000000" w:rsidDel="00000000">
              <w:rPr>
                <w:b w:val="1"/>
                <w:rtl w:val="0"/>
              </w:rPr>
              <w:t xml:space="preserve">metodikas </w:t>
            </w:r>
            <w:r w:rsidR="00000000" w:rsidRPr="00000000" w:rsidDel="00000000">
              <w:rPr>
                <w:rtl w:val="0"/>
              </w:rPr>
              <w:t xml:space="preserve">un uz procesiem balstītus pakalpojumu </w:t>
            </w:r>
            <w:r w:rsidR="00000000" w:rsidRPr="00000000" w:rsidDel="00000000">
              <w:rPr>
                <w:b w:val="1"/>
                <w:rtl w:val="0"/>
              </w:rPr>
              <w:t xml:space="preserve">ceļvežus</w:t>
            </w:r>
            <w:r w:rsidR="00000000" w:rsidRPr="00000000" w:rsidDel="00000000">
              <w:rPr>
                <w:rtl w:val="0"/>
              </w:rPr>
              <w:t xml:space="preserve">, t.sk., </w:t>
            </w:r>
            <w:r w:rsidR="00000000" w:rsidRPr="00000000" w:rsidDel="00000000">
              <w:rPr>
                <w:b w:val="1"/>
                <w:rtl w:val="0"/>
              </w:rPr>
              <w:t xml:space="preserve">videopadomi</w:t>
            </w:r>
            <w:r w:rsidR="00000000" w:rsidRPr="00000000" w:rsidDel="00000000">
              <w:rPr>
                <w:rtl w:val="0"/>
              </w:rPr>
              <w:t xml:space="preserve">, virtuālais asistents, </w:t>
            </w:r>
            <w:r w:rsidR="00000000" w:rsidRPr="00000000" w:rsidDel="00000000">
              <w:rPr>
                <w:b w:val="1"/>
                <w:rtl w:val="0"/>
              </w:rPr>
              <w:t xml:space="preserve">Biznesa Inteliģences rīki</w:t>
            </w:r>
            <w:r w:rsidR="00000000" w:rsidRPr="00000000" w:rsidDel="00000000">
              <w:rPr>
                <w:rtl w:val="0"/>
              </w:rPr>
              <w:t xml:space="preserve">, kas balstīts uz Microsoft Power BI, Qlik Sense vai ekvivalentas platformas (Business Intelligence) datu analīzei uzraudzības un preventīvo pasākumu plānošanai un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darbinieku nosūtīšanas kontroles un uzraudzības sistēmas veiktspējas stiprināšanas pasākumi nacionālās un pārrobežu sadarbības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 aprakstu noteikumu projekta 13.2.apakšpunktā, ko sevī ietver darbība "pārrobežu sadarbība". Vēršam uzmanību, ka Eiropas Savienības kohēzijas politikas programma 2021.–2027.gadam (turpmāk - Programma) papildinājumā minēts, ka 4.3.3.7.pasākuma  ietvaros plānoti Baltijas valstu un starptautiskie inspektoru pieredzes apmaiņas pasākumi, t.sk., tematiskās pārrobežu inspicēšanas vizītes.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gadījumos, kad plānota pārrobežu sadarbība, vai cita veida ieguldījumi uz citām valstīm, anotācijā ir jāiekļauj skaidrojoša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Šo noteikumu </w:t>
            </w:r>
            <w:r w:rsidR="00000000" w:rsidRPr="00000000" w:rsidDel="00000000">
              <w:rPr>
                <w:rtl w:val="0"/>
              </w:rPr>
              <w:t xml:space="preserve">14.1.</w:t>
            </w:r>
            <w:r w:rsidR="00000000" w:rsidRPr="00000000" w:rsidDel="00000000">
              <w:rPr>
                <w:rtl w:val="0"/>
              </w:rPr>
              <w:t xml:space="preserve"> apakšpunktā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attiecināmo izmaksu uzskaitījums nav papildināms ar komunikācijas un vizuālās identitātes pasākumu nodrošināšanas izmaksām (t.i., ar noteikumu 13.5. apakšpunktā minēto darbību saistītām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Kvartenoka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15.2.3. ārvalstu komandējumu izmaksas projekta vadītājam un projekta īstenošanas personālam, kā arī šo noteikumu </w:t>
            </w:r>
            <w:r w:rsidR="00000000" w:rsidRPr="00000000" w:rsidDel="00000000">
              <w:rPr>
                <w:rtl w:val="0"/>
              </w:rPr>
              <w:t xml:space="preserve">3.1.</w:t>
            </w:r>
            <w:r w:rsidR="00000000" w:rsidRPr="00000000" w:rsidDel="00000000">
              <w:rPr>
                <w:rtl w:val="0"/>
              </w:rPr>
              <w:t xml:space="preserve"> apakšpunktā minētajai mērķa grupai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w:t>
            </w:r>
            <w:r w:rsidR="00000000" w:rsidRPr="00000000" w:rsidDel="00000000">
              <w:rPr>
                <w:rtl w:val="0"/>
              </w:rPr>
              <w:t xml:space="preserve"> apakšpunktā minētās atbalstāmās darbības īstenošanai. Ārvalstu komandējumu izmaksas aprēķina un atlīdzina saskaņā ar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15.2.3.apakšpunktu, ka ārvalstu komandējumu izmaksas attiecināmas tikai projekta īstenošanas personālam un projekta vadītājam. Anotācijā minētais, ka ārvalstu komandējumos uz Lietuvu un Igauniju "Katrā ārvalstu komandējumā piedalīsies līdz </w:t>
            </w:r>
            <w:r w:rsidR="00000000" w:rsidRPr="00000000" w:rsidDel="00000000">
              <w:rPr>
                <w:b w:val="1"/>
                <w:rtl w:val="0"/>
              </w:rPr>
              <w:t xml:space="preserve">15 VDI pārstāvjiem</w:t>
            </w:r>
            <w:r w:rsidR="00000000" w:rsidRPr="00000000" w:rsidDel="00000000">
              <w:rPr>
                <w:rtl w:val="0"/>
              </w:rPr>
              <w:t xml:space="preserve">." var raisīt pārdomas par efektīvu finansējuma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w:t>
            </w:r>
            <w:r w:rsidR="00000000" w:rsidRPr="00000000" w:rsidDel="00000000">
              <w:rPr>
                <w:rtl w:val="0"/>
              </w:rPr>
              <w:t xml:space="preserve">13.4.</w:t>
            </w:r>
            <w:r w:rsidR="00000000" w:rsidRPr="00000000" w:rsidDel="00000000">
              <w:rPr>
                <w:rtl w:val="0"/>
              </w:rPr>
              <w:t xml:space="preserve"> un </w:t>
            </w:r>
            <w:r w:rsidR="00000000" w:rsidRPr="00000000" w:rsidDel="00000000">
              <w:rPr>
                <w:rtl w:val="0"/>
              </w:rPr>
              <w:t xml:space="preserve">13.6.</w:t>
            </w:r>
            <w:r w:rsidR="00000000" w:rsidRPr="00000000" w:rsidDel="00000000">
              <w:rPr>
                <w:rtl w:val="0"/>
              </w:rPr>
              <w:t xml:space="preserve"> apakšpunktā  minētās atbalstāmās darbības īstenošanai var paredzēt transporta pakalpojumu izmaksas (transportlīdzekļa noma un transporta pakalpojumu pirkšana);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16.4.apakšpunktā attiecībā nav piemērojama degvielas izmaksām vadošās iestādes metodikas par vienas vienības izmaksu standarta likmes aprēķinu un piemērošanu 1 km izmaksām un iekšzemes komandējumu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 šo noteikumu </w:t>
            </w:r>
            <w:r w:rsidR="00000000" w:rsidRPr="00000000" w:rsidDel="00000000">
              <w:rPr>
                <w:rtl w:val="0"/>
              </w:rPr>
              <w:t xml:space="preserve">13.1.</w:t>
            </w:r>
            <w:r w:rsidR="00000000" w:rsidRPr="00000000" w:rsidDel="00000000">
              <w:rPr>
                <w:rtl w:val="0"/>
              </w:rPr>
              <w:t xml:space="preserve">, </w:t>
            </w:r>
            <w:r w:rsidR="00000000" w:rsidRPr="00000000" w:rsidDel="00000000">
              <w:rPr>
                <w:rtl w:val="0"/>
              </w:rPr>
              <w:t xml:space="preserve">13.2.</w:t>
            </w:r>
            <w:r w:rsidR="00000000" w:rsidRPr="00000000" w:rsidDel="00000000">
              <w:rPr>
                <w:rtl w:val="0"/>
              </w:rPr>
              <w:t xml:space="preserve"> un </w:t>
            </w:r>
            <w:r w:rsidR="00000000" w:rsidRPr="00000000" w:rsidDel="00000000">
              <w:rPr>
                <w:rtl w:val="0"/>
              </w:rPr>
              <w:t xml:space="preserve">13.4.</w:t>
            </w:r>
            <w:r w:rsidR="00000000" w:rsidRPr="00000000" w:rsidDel="00000000">
              <w:rPr>
                <w:rtl w:val="0"/>
              </w:rPr>
              <w:t xml:space="preserve"> apakšpunktā minētās atbalstāmās darbības īstenošanai var paredzēt telpu nomas un kancelejas preču iegādes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16.5.apakšpunktā minētās izmaksas nebūtu sedzamas no netiešajām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16.7.2. naktsmītnes izdevumus attiecīgā pasākuma dalībniekiem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noteikumu projekta 16.7.2.punktā minētām izmaksām nav piemērojama Vadošās iestādes izstrādātā metodika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Pievienotās vērtības nodokļa izmaksas atbilstoši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64. panta 1. punkta “c” apakšpunktam šo noteikumu </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un </w:t>
            </w:r>
            <w:r w:rsidR="00000000" w:rsidRPr="00000000" w:rsidDel="00000000">
              <w:rPr>
                <w:rtl w:val="0"/>
              </w:rPr>
              <w:t xml:space="preserve">17.</w:t>
            </w:r>
            <w:r w:rsidR="00000000" w:rsidRPr="00000000" w:rsidDel="00000000">
              <w:rPr>
                <w:rtl w:val="0"/>
              </w:rPr>
              <w:t xml:space="preserve"> punktā minētajām izmaksu pozīcijām ir attiecināmas, ja tās nav atgūstamas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vadošās iestādes vadlīniju Nr.1.2. "Vadlīnijas attiecināmo izmaksu noteikšanai Eiropas Savienības kohēzijas politikas programmas 2021.-2027.gada plānošanas periodā" 19.1.apakšpunktu, ja projekta kopējās attiecināmās izmaksas ir mazākas par 5 milj.EUR (ieskaitot pievienoto vērtības nodokli) un nav iesaistīts valsts atbalsts (t.sk. de minimis), var izmantot vienkāršotu pievienotās vērtības nodokļa līdzekļu attiecināšanas modeli, proti uzreiz tos attiecinot no projekta. Vienlaikus vēršam uzmanību, ja tiek izmantots vienkāršots pievienotās vērtības nodokļa attiecināšanas modelis: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18.punktā lūdzam svītrot vārdus "ja tās nav atgūstamas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papildināt ar informāciju, ka tiks nodrošināts dubultā finansējuma novēršanas risks.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Īstenojot projektu,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projekts nebūtu papildināms ar pienākumu finansējuma saņēmējam uzkrāt un iesniegt sadarbības iestādē apkopotus datus par ESF Plus kopējiem iznākuma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27.12.2023.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23-TA-1375</w:t>
    </w:r>
    <w:r>
      <w:br/>
    </w:r>
    <w:r w:rsidR="00000000" w:rsidRPr="00000000" w:rsidDel="00000000">
      <w:rPr>
        <w:rtl w:val="0"/>
      </w:rPr>
      <w:t xml:space="preserve">Izdrukāts 27.12.2023.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Atzinumi_23-TA-1375.docx</dc:title>
</cp:coreProperties>
</file>

<file path=docProps/custom.xml><?xml version="1.0" encoding="utf-8"?>
<Properties xmlns="http://schemas.openxmlformats.org/officeDocument/2006/custom-properties" xmlns:vt="http://schemas.openxmlformats.org/officeDocument/2006/docPropsVTypes"/>
</file>