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izsludinātas enerģētiskās krīzes laikā un Starptautiskās Enerģētikas aģentūras aktivizētu koordinētu ārkārtas reaģēšanas pasākumu gadījumā tiek pārdotas valsts naftas produktu drošības rezerves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enerģētiskās krīzes centrs izstrādā un uztur aktuālu naftas pieprasījuma ierobežošanas pasākumu programmu naftas produktu patēriņa ierobežošanai, kas veidota saskaņā ar Nolīguma 5. panta 1.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enerģētiskās krīzes centrs izstrādā un uztur aktuālu naftas pieprasījuma ierobežošanas pasākumu programmu naftas produktu patēriņa ierobežošanai, kas veidota saskaņā ar Nolīguma 5.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(Sandra Vīgante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pirmšķietami arī attiecīgās direktīvas 20. panta 6. punkta prasības tiek pārņemtas ar projektu (sk. projekta 10. punktu), savukārt 20. panta 4. un 5. punkta prasības ir pārņemtas ar attiecīgi projekta 3. un 4. punktu, nevis 5. punktu. Ievērojot minēto, lūdzam izvērtēt un veikt nepieciešamos precizējumus projekta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minētās direktīvas 20. panta 3. punkts nebūtu jāpārņem projekta 20. punktā, paredzot Ekonomikas ministrijas pienākumu iesniegt Eiropas Komisijai lūgumu sasaukt koordinācijas grupas konsultāciju sanāksmi, līdzīgi kā projekta 3. punkta gadījumā, vai paredzēt attiecīgu uzdevumu Ministru kabineta sēdes protokola projektā. Attiecīgā gadījumā lūdzam attiecīgi papildināt arī anotācijas 5.4. apakšsadaļas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tabulu, norādot konkrētas 1974. gada 18. novembra Nolīguma par Starptautisko enerģētikas programmu saistības (tabulas A ailē), kuras tiek izpildītas ar projektu, konkrētas projekta vai citu nacionālo tiesību aktu vienības (B ailē), ar kurām minētās saistības tiek izpildītas, kā arī to, vai saistības tiek izpildītas pilnībā un attiecīgā gadījumā - kā tās paredzēts izpildīt pilnībā (attiecīgi C un D ailē).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12.03.2026.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12.03.2026.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Atzinumi_25-TA-2070.docx</dc:title>
</cp:coreProperties>
</file>

<file path=docProps/custom.xml><?xml version="1.0" encoding="utf-8"?>
<Properties xmlns="http://schemas.openxmlformats.org/officeDocument/2006/custom-properties" xmlns:vt="http://schemas.openxmlformats.org/officeDocument/2006/docPropsVTypes"/>
</file>