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Aizsardzība pret pakalpojumatteices kiberuzbrukumiem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aizsardzība pret pakalpojumatteices kiberuzbrukumiem palīdz novērst ļaunprātīgu sistēmas resursu pārslogošanu, tomēr tā nenodrošina pietiekošu aizsardzību, piemēram, tīmekļa lietojumprogrammām, pret citiem uzbrukumu veidiem (piemēram, starpvietņu skriptēšanu (cross-site scripting (XSS)), SQL iesprauduzbrukumiem (SQL injection) u.t.t.). Ņemot vērā minēto, lūdzam izvērtēt lietderību papildināt likumprojektu, paredzot arī cita veida kiberaizsardzības pakalpojumus, piemēram, tīmekļlietotnes ugunsmūri (web application firewall), vai tamlīdzīgus.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ir tiesīgs iesniegt ievainojamības atklāšanas ziņojumu anonīmi vai lūgt kompetento kiberincidentu novēršanas institūciju neatklāt ziņojuma iesniedzēja identitāti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ceturtās daļas 1.– 4. punktā minētajām institūcijām. Šādā gadījumā kompetentās kiberincidentu novēršanas institūcijas pienākums ir nodrošināt ziņojuma iesniedzēja identitātes konfidencialitāti, ja vien ziņojuma iesniedzējs (ievainojamības atklājējs) ievēro šajā likumā noteikto, un nav pirmsšķietami vērojamas noziedzīga nodarījuma pazīmes. Minētais konfidencialitātes nodrošināšanas pienākums neattiecas uz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ceturtās daļas 5. un 6. punktā minētajām institūcijām. Ievainojamības atklāšanas ziņojuma anonīma iesniegšana neatbrīvo ievainojamības atklāšanas ziņojuma iesniedzēju no pienākuma neizpaust informāciju par ievainojamību.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 panta sestajā daļā precizēt atsauces uz likumprojekta 13. pantu,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 atsauci uz 13. panta trešo, nevis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konfidencialitātes nodrošināšanas pienākumu atrunāt attiecībā uz institūcijām, kas minētas 13. panta trešās daļas visos astoņos, nevis tikai 5. un 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29.11.2023.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29.11.2023.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