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budžeta finansējums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svīrot 11.1.apakšpunktu, jo tajā noteiktais jau izriet no 11.punkta ievaddaļas ("investīcijas otrās kārtas kopējo attiecināmo finansējumu veido šo noteikumu  </w:t>
            </w:r>
            <w:r w:rsidR="00000000" w:rsidRPr="00000000" w:rsidDel="00000000">
              <w:rPr>
                <w:u w:val="single"/>
                <w:rtl w:val="0"/>
              </w:rPr>
              <w:t xml:space="preserve">10. punktā  minētais</w:t>
            </w:r>
            <w:r w:rsidR="00000000" w:rsidRPr="00000000" w:rsidDel="00000000">
              <w:rPr>
                <w:rtl w:val="0"/>
              </w:rPr>
              <w:t xml:space="preserve"> Atveseļošanas fonda finansējums un cits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16.punktu, paredzot, ka publicēts tiek arī noteikumu projekta 15.punktā minētais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Investīcijas otrās kārtas projekta iesniedzējs  var apstrīdēt aģentūras pieņemto lēmumu Finanšu ministrijā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likums attiecas uz publiski tiesiskām attiecībām starp valsti (plašākā nozīmē) un privātpersonu. Vēršam uzmanību, ka ne visi noteikumu projektā minētie projekta iesniedzēji ir privātpersonas, līdz ar to noteikumu projekta 27.punkts būs tulkojams sašaurināti. Aicinām izvērtēt, vai tiesiskās skaidrības nolūkos 27.punktu nav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18.04.2023.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18.04.2023.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