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"Jaundubulti 1402" Jūrmalā nodošanu Jūrmalas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31.03.2026. vēstule.edoc)</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anotācijā ir norādīts, ka uz zemes gabala, ko ar attiecīgo rīkojumu ir plānots nodot Jūrmalas valstspilsētas pašvaldības (turpmāk – pašvaldība) īpašumā, atrodas trīs būves,  kuru īpašniekam būs likumiskās lietošanas tiesības uz pašvaldībai nododamo zemi. Skaidrojam, ka gadījumā, ja pēc zemes nodošanas pašvaldības īpašumā ir paredzēts, ka attiecīgā zemes vienība tiks iznomāta (nodota lietošanā) no pašvaldības puses uz zemes esošo būvju īpašniekiem, uzskatāms, ka nekustamais īpašums daļēji tiek nodots pašvaldības saimnieciskās darbības veikšanai (pašvaldība par zemes lietošanu saņems atlīdzību no būvju īpašnieka), attiecīgi attiecībā uz šāda īpašuma nodošanu pašvaldībai būtu jāveic izvērtējums atbilstoši Komercdarbības atbalsta kontroles likuma 5.pantam un gadījumā, ja pasākums kvalificējas kā komercdarbības atbalsts, jāpiemēro atbilstošs komercdarbības atbalsta regulējums, piemēram, Komisijas 2023.gada 13.decembra Regula (ES) 2023/2831 par Līguma par Eiropas Savienības darbību 107. un 108. panta piemērošanu de minimis atbalstam, attiecīgi papildinot rīkojuma projektu ar minētā regulējuma prasībām. Vienlaikus, anotācijā ir norādīts, ka: “[..] zemesgrāmatā ierakstītas būves īpašnieks, ja viņš vēlas nopirkt zemesgabalu, uz kura atrodas būve, ir tiesīgs ierosināt zemesgabala atsavināšanu, līdz ar to jautājums par iespējamo Zemesgabala daļas atsavināšanu tiks risināts pēc atsavināšanas ierosinājuma saņemšanas no Būvju īpašnieka”. Attiecīgi atbilstoši sniegtajam skaidrojumam, atkarībā no zemes vienībā pašvaldības plānotajām darbībām, aicinām papildināt rīkojuma projekta anotāciju ar informāciju par to, vai īpašuma nodošanā pašvaldībai ir/būs konstatējama komercdarbības atbalsta klātbūtne un kā arī papildināt rīkojuma projektu ar piemērojamā komercdarbības atbalsta regulējuma prasībām (ja attiecināms). Šajā saistībā aicinām pēc analoģijas skatīt Ministru kabineta 2025.gada 14.februāra rīkojumu Nr.78 "Par valsts nekustamo īpašumu nodošanu bezatlīdzības lietošanā biedrībai "Latvijas Neredzīgo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Possessor rīcībā nav ziņu, ka Pašvaldība būtu izvērtējusi Būvju atsavināšanu saskaņā ar Sabiedrības vajadzībām nepieciešamā nekustamā īpašuma atsavināšanas likumu. P</w:t>
            </w:r>
            <w:r w:rsidR="00000000" w:rsidRPr="00000000" w:rsidDel="00000000">
              <w:rPr>
                <w:i w:val="1"/>
                <w:u w:val="single"/>
                <w:rtl w:val="0"/>
              </w:rPr>
              <w:t xml:space="preserve">ašvaldības 31.03.2026. vēstulē norādīts, ka saskaņā ar Atsavināšanas likuma 4. panta ceturtās daļas 3. punktā noteikto, zemesgrāmatā ierakstītas būves īpašnieks, ja viņš vēlas nopirkt zemesgabalu, uz kura atrodas būve, ir tiesīgs ierosināt zemesgabala atsavināšanu, līdz ar to jautājums par iespējamo Zemesgabala daļas atsavināšanu tiks risināts pēc atsavināšanas ierosinājuma saņemšanas no Būvju īpašnieka."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sagatavoto MK rīkojuma projektu tiek paredzēts pašvaldības īpašumā nodot zemes vienību, tostarp meža zemi, pašvaldības autonomo funkciju īstenošanai, ievērojot t.sk. Publiskas personas mantas atsavināšanas likuma (tuprmāk - Atsavināšanas likums) 42.pantā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pirmā daļa nosaka, ka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r w:rsidR="00000000" w:rsidRPr="00000000" w:rsidDel="00000000">
              <w:rPr>
                <w:u w:val="single"/>
                <w:rtl w:val="0"/>
              </w:rPr>
              <w:t xml:space="preserve">.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Ekonomikas ministrijai (Possessor) precizēt anotācijā norādīto informāciju par pašvaldības rīcību atbilstoši normatīvajam regulējumam, t.sk. ievērojot anotācijā norādīto par to, ka rīkojuma projektā minētais nekustamais īpašums - zemes vienība, nav sadalāma.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09.06.2026.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09.06.2026.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Atzinumi_25-TA-3065.docx</dc:title>
</cp:coreProperties>
</file>

<file path=docProps/custom.xml><?xml version="1.0" encoding="utf-8"?>
<Properties xmlns="http://schemas.openxmlformats.org/officeDocument/2006/custom-properties" xmlns:vt="http://schemas.openxmlformats.org/officeDocument/2006/docPropsVTypes"/>
</file>