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Anotācijai vajadzētu nevis atsaukties uz apdrošinātāju praksi, bet gan pēc tās izpētes norādīt konkrētus nepieciešanos dokumentus. Ir būtiski, lai atbalsta saņēmējiem ir skaidri, izpildāmi un vienādi piemērojami kritēriji, kas pamato materiālo vērtību iznīcināšanu kara apstākļu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Renkmane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dokumentu pakotnē ietvertais formulējums nesaskan ar 25-TA-352 protokollēmuma projektā iekļauto formulējumu finansējuma izlietojumam, kas paredzēts "(...) lai nodrošinātu finansējuma pieejamību Latvijā reģistrētiem komersantiem komercsabiedrību vai to filiāļu dibināšanai, veidošanai un attīstīšanai Ukrainā." Skatot dokumentus kopskatā, šobrīd nav skaidrs, kuram no diviem minētajiem mērķiem finansējums tiks izmantots.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Renkmane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06.11.2025.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06.11.2025.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