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Kontrolpirkuma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anotācijā norādīto informāciju</w:t>
            </w:r>
            <w:r w:rsidR="00000000" w:rsidRPr="00000000" w:rsidDel="00000000">
              <w:rPr>
                <w:rtl w:val="0"/>
              </w:rPr>
              <w:t xml:space="preserve">, proti, tajā ir norādīts, </w:t>
            </w:r>
            <w:r w:rsidR="00000000" w:rsidRPr="00000000" w:rsidDel="00000000">
              <w:rPr>
                <w:i w:val="1"/>
                <w:rtl w:val="0"/>
              </w:rPr>
              <w:t xml:space="preserve">"ja, veicot kontrolpirkumu, konstatē likumpārkāpumu, policijas iestāde (pārzinis) nodrošina, ka iesaistītās personas un tās likumiskā pārstāvja </w:t>
            </w:r>
            <w:r w:rsidR="00000000" w:rsidRPr="00000000" w:rsidDel="00000000">
              <w:rPr>
                <w:i w:val="1"/>
                <w:u w:val="single"/>
                <w:rtl w:val="0"/>
              </w:rPr>
              <w:t xml:space="preserve">personas dati tiek glabāti attiecīgi līdz kriminālprocesa, administratīvā pārkāpuma procesa, administratīvā procesa vai resoriskās pārbaudes pabeigšanai policijas iestādē." </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nesaskan ar reālajiem datu glabāšanas termiņiem. Piemēram, Administratīvās atbildības likuma 82. pants noteic, ka visus ar procesu saistītos dokumentus glabā vienkopus administratīvā pārkāpuma lietā. Attiecīgi kontrolpirkumā iegūtos pierādījumus administratīvā pārkāpuma lietā turpinās glabāt ne tikai līdz lietas pabeigšanai iestādē, bet arī, piemēram, tiesas stadijā, soda izpildē un vēl  zināmu laika posmu, ko noteic Sodu reģistra likuma regulējums par administratīvā pārkāpuma procesa ietvaros glabājamajiem dokumentiem un to glabāšanas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19.10.2023.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19.10.2023.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Atzinumi_21-TA-1707.docx</dc:title>
</cp:coreProperties>
</file>

<file path=docProps/custom.xml><?xml version="1.0" encoding="utf-8"?>
<Properties xmlns="http://schemas.openxmlformats.org/officeDocument/2006/custom-properties" xmlns:vt="http://schemas.openxmlformats.org/officeDocument/2006/docPropsVTypes"/>
</file>