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aprīļa noteikumos Nr. 210 "Noteikumi par automātisko informācijas apmaiņu par ziņojamām pārrobežu shēmām"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atbilstību Eiropas Savienības tiesību aktiem un pārskatīt anotācijas 5.4. apakšsadaļu, nodrošinot korektu un pilnīgu atbilstības atspoguļojumu. Piemēram,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5.4. apakšsadaļas 1. tabulā atsauces uz Padomes 2023. gada 17. oktobra Direktīvas (ES) 2023/2226, ar ko groza Direktīvu 2011/16/ES par administratīvu sadarbību nodokļu jomā (turpmāk - DAC8) tiesību normām papildināt ar atsaucēm uz korespondējošo tiesību aktu, piemēram: "DAC8 1. panta 1. punkta c) apakšpunktam (Direktīvas 2011/16/ES 3. panta 31) apakšpunkts)" u.tml. Skaidrojot DAC8 1. panta 16. punkta (Direktīvas 2011/16/ES 27.c panta) pārņemšanu iesakām norādīt precīzu norādi uz Direktīvas 2011/16/ES 27.c panta apakšvienību, kura tiek pārņemta;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aili "DAC8 1.panta 4.punkta b) apakšpunkts" sadalīt divās, ņemot vērā, ka, atbilstoši projekta redakcijai, tā 1.3. apakšpunkts ievieš DAC8 1. panta 4.punkta b) apakšpunkta</w:t>
            </w:r>
            <w:r w:rsidR="00000000" w:rsidRPr="00000000" w:rsidDel="00000000">
              <w:rPr>
                <w:u w:val="single"/>
                <w:rtl w:val="0"/>
              </w:rPr>
              <w:t xml:space="preserve"> i) apakšpunktu</w:t>
            </w:r>
            <w:r w:rsidR="00000000" w:rsidRPr="00000000" w:rsidDel="00000000">
              <w:rPr>
                <w:rtl w:val="0"/>
              </w:rPr>
              <w:t xml:space="preserve">, bet projekta 1.4. apakšpunkts DAC8 1. panta 4.punkta b) apakšpunkta </w:t>
            </w:r>
            <w:r w:rsidR="00000000" w:rsidRPr="00000000" w:rsidDel="00000000">
              <w:rPr>
                <w:u w:val="single"/>
                <w:rtl w:val="0"/>
              </w:rPr>
              <w:t xml:space="preserve">ii) 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pilnīgi atspoguļot DAC8 pārņemšanu projektā, piemēram, projekta 1.6. apakšpunktā vai projekta 1.7.apakšpunktā un 2.punktā (DAC8 2. panta 1. punkts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 ailē, norādot uz daļēju pārņemšanu, sniegt attiecīgu skaidrojumu, precīzi norādīt, kad un kādā veidā tiks nodrošināta minēto saistību izpilde pilnībā, un norādīt institūciju, kura ir atbildīga par šo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skaidrot, kā ir izmantota Eiropas Savienības tiesību aktā paredzētā rīcības brīvība dalībvalstij pārņemt vai ieviest noteiktas tiesību akta normas? Kādēļ? Vēršam uzmanību, ka rīcības brīvību satur, piemēram, 1. panta 4. punkta a) apakšpunkts (Direktīvas 2011/16 8.ab panta 5. punkta pirmā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1.2. apakšsadaļā norādīto projekta mērķi un to precizēt. Vēršam uzmanību, ka mērķis jādefinē tādā formā, lai varētu novērtēt tā sasniegšanas progresu. Izvirzītais mērķis nedrīkst attaisnot jau iepriekš nolemtu rīcību, tam ir jābūt neitrālam un vērstam uz problēmu izraisošo cēloņu mazināšanu vai likvidēšanu, mērķis nevar būt tiesību akta izstrāde vai grozījumi tajā.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nepieciešamības gadījumā precizēt anotācijas 7. sadaļu, ņemot vērā, ka atbilstoši projektam grozījumiem pakļautās Ministru kabineta 2020. gada 14. aprīļa noteikumu Nr. 210 "Noteikumi par automātisko informācijas apmaiņu par ziņojamām pārrobežu shēmām" vienības attiecināmas arī uz Valsts ieņēmumu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25-TA-382</w:t>
    </w:r>
    <w:r>
      <w:br/>
    </w:r>
    <w:r w:rsidR="00000000" w:rsidRPr="00000000" w:rsidDel="00000000">
      <w:rPr>
        <w:rtl w:val="0"/>
      </w:rPr>
      <w:t xml:space="preserve">Izdrukāts 16.04.2025. 21.56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25-TA-382</w:t>
    </w:r>
    <w:r>
      <w:br/>
    </w:r>
    <w:r w:rsidR="00000000" w:rsidRPr="00000000" w:rsidDel="00000000">
      <w:rPr>
        <w:rtl w:val="0"/>
      </w:rPr>
      <w:t xml:space="preserve">Izdrukāts 16.04.2025. 21.56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Atzinumi_25-TA-382.docx</dc:title>
</cp:coreProperties>
</file>

<file path=docProps/custom.xml><?xml version="1.0" encoding="utf-8"?>
<Properties xmlns="http://schemas.openxmlformats.org/officeDocument/2006/custom-properties" xmlns:vt="http://schemas.openxmlformats.org/officeDocument/2006/docPropsVTypes"/>
</file>