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26-TA-2199: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sabiedrībai ar ierobežotu atbildību "Elektroniskie sakari" konferences "Techritory" organizēšanai 2026.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Likuma “Par valsts budžetu 2026. gadam un budžeta ietvaru 2026., 2027. un 2028. gadam” 48. pants nosaka, ka  Aizsardzības ministrijas budžeta ietvaros sadarbībai ar starptautiskajām un nevalstiskajām organizācijām, </w:t>
            </w:r>
            <w:r w:rsidR="00000000" w:rsidRPr="00000000" w:rsidDel="00000000">
              <w:rPr>
                <w:u w:val="single"/>
                <w:rtl w:val="0"/>
              </w:rPr>
              <w:t xml:space="preserve">pašvaldībām un komersantiem nepieciešamo finansējumu un tā izlietojumu</w:t>
            </w:r>
            <w:r w:rsidR="00000000" w:rsidRPr="00000000" w:rsidDel="00000000">
              <w:rPr>
                <w:rtl w:val="0"/>
              </w:rPr>
              <w:t xml:space="preserve">, nodrošinot iesaisti starptautiskās un nacionālās drošības stiprināšanā, nosaka Ministru kabinets. Ņemot vērā minēto anotācijas 1.1. apakšpunkts atbilstoši precizējams.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Līne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26-TA-2199</w:t>
    </w:r>
    <w:r>
      <w:br/>
    </w:r>
    <w:r w:rsidR="00000000" w:rsidRPr="00000000" w:rsidDel="00000000">
      <w:rPr>
        <w:rtl w:val="0"/>
      </w:rPr>
      <w:t xml:space="preserve">Izdrukāts 11.09.2026.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26-TA-2199</w:t>
    </w:r>
    <w:r>
      <w:br/>
    </w:r>
    <w:r w:rsidR="00000000" w:rsidRPr="00000000" w:rsidDel="00000000">
      <w:rPr>
        <w:rtl w:val="0"/>
      </w:rPr>
      <w:t xml:space="preserve">Izdrukāts 11.09.2026.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