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Izglītības un zinātnes ministriju </w:t>
            </w:r>
            <w:r w:rsidR="00000000" w:rsidRPr="00000000" w:rsidDel="00000000">
              <w:rPr>
                <w:b w:val="1"/>
                <w:rtl w:val="0"/>
              </w:rPr>
              <w:t xml:space="preserve">virzīt noteikumu projektu izskatīšanai Ministru kabinetā tikai pēc tam, kad būs panākta vienošanās ar Konkurences padomi</w:t>
            </w:r>
            <w:r w:rsidR="00000000" w:rsidRPr="00000000" w:rsidDel="00000000">
              <w:rPr>
                <w:rtl w:val="0"/>
              </w:rPr>
              <w:t xml:space="preserve"> par to, vai 4.2.1.8.pasākuma "Augstskolu studiju vides modernizācija" 2.kārtas ietvaros tiek nodrošināta vienlīdzīgas konkurences prasību ievērošana. Vēršam uzmanību, ka š.g. 11.oktobrī ES fondu 2021.-2027.gada plānošanas perioda Uzraudzības komitejas (UK) rakstiskās procedūras ietvaros tika saņemts Konkurences padomes komentārs ar viedokli, ka publiskajam finansējumam, t. sk. Eiropas Savienības fondu līdzekļiem (pētniecībai, zinātnei, utt.) uz vienlīdzīgiem nosacījumiem būtu jābūt pieejamiem visām valsts akreditētām augstskolām neatkarīgi no dibinātāja, ja tās atbilstoši Augstskolu likuma 3. līdz 3.4 pantā noteiktajiem tipiem, atbilstoši to specializācijai un darbības mērķiem, veic zinātnisko un pētniecisko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Finanšu ministriju par panākto vienošanos ar Konkurences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steidzami virzīt izskatīšanai UK apakškomitejā un apstiprināšanai UK 4.2.1.8.pasākuma trešās kārtas kritērijus, lai varētu nodrošināt savlaicīgu trešās kārtas projektu iesniegumu atlases organizēšanu.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pirmās kārtas un otrās kārtas ietvaros līdz 2029. gada 30. jūnijam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 katras kārtas tiek noteikti nacionālie rādītāji, lūdzam labākai informācijas uztveramībai papildināt noteikumu projekta 12.punktu ar vārdiem "programmas uzraudzības" pirms vārda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iznākuma rādītājs – jaunu vai modernizētu izglītības iestāžu klašu telpu ietilpība  – vismaz 235 studējošie.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18.2. punktu, nosakot, ka pasākuma pirmās kārtas ietvaros līdz 2026. gada 31. oktobrim sasniedzams iznākuma rādītājs ir  jauno vai modernizēto izglītības iestāžu klašu telpu ietilpība  – vismaz 210 studējošie, ņemot vērā, ka no valsts akciju sabiedrības “Valsts nekustamie īpašumi” saņemta informācija, ka pasākuma ietvaros uzsāktajam un nepabeigtajam projektam Nr. 5.6.1.0/17/I/005 "Starpdisciplinārā izglītības, kultūras un radošo industriju atbalsta centra "TabFab" izveide nekustamajā īpašumā Miera ielā 58a, Rīgā",  kurš tiek posmots 4.2.1.8. pasākuma pirmās kārtas ietvaros, telpas ir projektētas ar ietilpību 210 studējošie un 53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precizēt noteikumu projektu, lai nodrošinātu Eiropas Savienības kohēzijas politikas programmas 2021. – 2027. gadam iznākuma rādītāja “jaunu vai modernizētu izglītības iestāžu klašu telpu ietilpība” sasniegšanu pilnā apjomā 2.kārtas ietvaros, lai nodrošinātu saistības pret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Otrās kārtas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noteikumu projekta redakcijā no otrās kārtas nosacījumiem ir izņemti nelikumīga komercdarbības atbalsta atgūšanas nosacījumi, lūdzam noteikumu projekta otrās kārtas īstenošanas nosacījumus papildināt ar nelikumīga komercdarbības atbalsta atgūšanas normu. Lūdzu zemāk skatīt piemēru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skaidrojumu anotācijā, t.sk. ka atbalsta sniedzējs uzraudzību otrajā kārtā veic projekta pārskata periodā (projekta dzīves cikla laikā), kas ir ieguldījumu amortizācijas periods.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pasākuma otrās kārtas ietvaros tā ieviešanas gaitā vai pēc tā pabeigšanas projekta pārskata periodā (projekta dzīves cikla laikā)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finansējuma saņēmējs īsteno projektu, kas nav kvalificējams kā komercdarbības atbalsts, ja projektam nav ietekmes uz konkurenci un tirdzniecību Eiropas Savienības iekšējā tirgū. Projektu vērtē atbilstoši šādām trim (jāizpildās visām)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uz kuru brīdi vērtē, vai otrās kārtas projekts neatbilst komercdarbības atbalsta pazīmēm (uz atbalsta piešķiršanas brīdi), kā arī lūdzam papildināt MK noteikumus vai anotāciju, norādot, ka projektu atbilstību vērtē Izglītības un zinātnes ministrija, sniedzot savu vērtējumu projektu atlases laikā vai norāda, ka vērtēšanu veiks atbilstoši līdz atlases izsludināšanai Izglītības un zinātnes ministrijas izstrādātajai Komercdarbības atbalsta nosacījumu izvērtēšanas metodikai.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Atbildīgā iestāde pēc Eiropas Komisijas lēmuma par vidusposma pārskatu var ierosināt no 2026. gada 1. janvāra palielināt otrajai kārtai pieejamo kopējo attiecināmo finansējumu 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minētajiem finansējuma saņēmējiem līdz šo noteikumu </w:t>
            </w:r>
            <w:r w:rsidR="00000000" w:rsidRPr="00000000" w:rsidDel="00000000">
              <w:rPr>
                <w:rtl w:val="0"/>
              </w:rPr>
              <w:t xml:space="preserve">52. </w:t>
            </w:r>
            <w:r w:rsidR="00000000" w:rsidRPr="00000000" w:rsidDel="00000000">
              <w:rPr>
                <w:rtl w:val="0"/>
              </w:rPr>
              <w:t xml:space="preserve">punktā</w:t>
            </w:r>
            <w:r w:rsidR="00000000" w:rsidRPr="00000000" w:rsidDel="00000000">
              <w:rPr>
                <w:rtl w:val="0"/>
              </w:rPr>
              <w:t xml:space="preserve"> minētajam plānotajam kopējam attiecināmajam finansējuma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projekta 54.punktu, aizstājot tajā vārdu “otrajai” ar vārdu “trešajai”.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Pasākuma trešās kārtas ietvaros izmaksas ir attiecināmas, ja tās atbilst šajos noteikumos minētajām izmaksu pozīcijām un ir radušās, sākot ar šo noteikumu spēkā stāšanās dienu, izņemot šo noteikumu </w:t>
            </w:r>
            <w:r w:rsidR="00000000" w:rsidRPr="00000000" w:rsidDel="00000000">
              <w:rPr>
                <w:rtl w:val="0"/>
              </w:rPr>
              <w:t xml:space="preserve">59.2.1.</w:t>
            </w:r>
            <w:r w:rsidR="00000000" w:rsidRPr="00000000" w:rsidDel="00000000">
              <w:rPr>
                <w:rtl w:val="0"/>
              </w:rPr>
              <w:t xml:space="preserve">, </w:t>
            </w:r>
            <w:r w:rsidR="00000000" w:rsidRPr="00000000" w:rsidDel="00000000">
              <w:rPr>
                <w:rtl w:val="0"/>
              </w:rPr>
              <w:t xml:space="preserve">59.2.2.</w:t>
            </w:r>
            <w:r w:rsidR="00000000" w:rsidRPr="00000000" w:rsidDel="00000000">
              <w:rPr>
                <w:rtl w:val="0"/>
              </w:rPr>
              <w:t xml:space="preserve">, </w:t>
            </w:r>
            <w:r w:rsidR="00000000" w:rsidRPr="00000000" w:rsidDel="00000000">
              <w:rPr>
                <w:rtl w:val="0"/>
              </w:rPr>
              <w:t xml:space="preserve">59.2.3.1.</w:t>
            </w:r>
            <w:r w:rsidR="00000000" w:rsidRPr="00000000" w:rsidDel="00000000">
              <w:rPr>
                <w:rtl w:val="0"/>
              </w:rPr>
              <w:t xml:space="preserve"> un  </w:t>
            </w:r>
            <w:r w:rsidR="00000000" w:rsidRPr="00000000" w:rsidDel="00000000">
              <w:rPr>
                <w:rtl w:val="0"/>
              </w:rPr>
              <w:t xml:space="preserve">59.2.3.2. </w:t>
            </w:r>
            <w:r w:rsidR="00000000" w:rsidRPr="00000000" w:rsidDel="00000000">
              <w:rPr>
                <w:rtl w:val="0"/>
              </w:rPr>
              <w:t xml:space="preserve">apakšpunktā</w:t>
            </w:r>
            <w:r w:rsidR="00000000" w:rsidRPr="00000000" w:rsidDel="00000000">
              <w:rPr>
                <w:rtl w:val="0"/>
              </w:rPr>
              <w:t xml:space="preserve">  minētās izmaksas, kas ir attiecināmas ar 2024. gada 1. janvāri. Finansējumu nepiešķir pabeigtām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4.2.1.8.pasākuma trešās kārtas īstenošanai nepieciešams Eiropas Komisijas saskaņojums par finansējuma pārdali starp Eiropas Savienības Kohēzijas politikas programmas 2021.-2027.gadam prioritātēm (no 4.3. prioritātes uz 4.2. prioritāti), lūdzam kā izmaksu attiecināmības sākuma termiņu noteikt brīdi, kas ir pēc Eiropas Komisijas saskaņojuma saņemšanas, piemēram, atlases izsludināšanas brīdi (ņemot vērā MK protokollēmuma projekta 6.punktā iekļauto nosacījumu) vai kādu citu vēlāku brīdi, lai mazinātu izmaksu attiecināmības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salāgot 61.punkta pēdējā teikuma redakciju ar noteikumu projekta 42.punkta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Pasākuma pirmās kārtas un trešās kārtas ietvaros netiek atbalstītas projekta darbības, kurām atbalsts ir kvalificējams kā komercdarbības atbalsts. Pasākuma pirmās un trešās kārtas ietvaros sniegtais atbalsts nav uzskatāms par komercdarbības atbalstu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uz kuru brīdi vērtē, vai trešās kārtas projekts neatbilst komercdarbības atbalsta pazīmēm (uz atbalsta piešķiršanas brīdi), kā arī lūdzam papildināt MK noteikumus vai anotāciju, norādot, ka projektu atbilstību vērtē Kultūras ministrija, sniedzot savu vērtējumu projektu atlases laikā vai norāda, ka vērtēšanu veiks atbilstoši līdz atlases izsludināšanai Kultūras ministrijas izstrādātajai Komercdarbības atbalsta nosacījumu izvērtēšanas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projekts pasākuma pirmās un trešās kārtas ietvaros tā ieviešanas gaitā vai uzraudzības periodā pēc tā pabeigšanas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veiks komercdarbības atbalsta izslēdzošo nosacījumu kontroli projekta dzīves ciklā. Aicinām noteikt, ka šo nosacījumu uzraudzīs Kultūras ministrija un 50% ieņēmumu pārsnieguma gadījumā informēs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projekts pasākuma pirmās un trešās kārtas ietvaros tā ieviešanas gaitā vai uzraudzības periodā pēc tā pabeigšanas kļūst par projektu, kuram sniegtais atbalsts būtu kvalificējams kā komercdarbības atbalsts, finansējuma saņēmējs no līdzekļiem, kas ir brīvi no  komercdarbības atbalsta, atmaksā sadarbības iestādei visu nelikumīgi saņemto atbalstu kopā ar procentiem saskaņā ar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komercdarbības atbalsta izslēdzošie nosacījumi ir piemērojami infrastruktūras projekta dzīves ciklā jeb infrastruktūras amortizācijas periodā, lūdzam precizēt projekta 72.punktu. Lūdzam zemāk skatīt piemēru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skaidrojumu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noteikumu projektu un anotāciju tā, lai skaidri ir komercdarbības atbalsta izslēdzošie nosacījumi katrai no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ar saimniecisko darbību nesaistīts projekts tā ieviešanas gaitā vai projekta pārskata periodā (projekta dzīves cikla laikā) kļūst par projektu, kas saistīts ar saimniecisko darbību, un atbalsts tam atbalsts kvalificējas kā komercdarbības atbalsts, atbalsta saņēmējam ir pienākums atmaksāt atbalsta sniedzējam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Pasākuma ietvaros atbalstu sniedz, ja projekta izmaksu un ieguvumu analīze pamato projekta finanšu ilgtspēju un sociālekonomisko atdevi. Izmaksu un ieguvumu analīzi veic projektiem, kas kopsummā ir virs 1 000 000 </w:t>
            </w:r>
            <w:r w:rsidR="00000000" w:rsidRPr="00000000" w:rsidDel="00000000">
              <w:rPr>
                <w:i w:val="1"/>
                <w:rtl w:val="0"/>
              </w:rPr>
              <w:t xml:space="preserve">euro</w:t>
            </w:r>
            <w:r w:rsidR="00000000" w:rsidRPr="00000000" w:rsidDel="00000000">
              <w:rPr>
                <w:rtl w:val="0"/>
              </w:rPr>
              <w:t xml:space="preserve">,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77.punktā un tā apakšpunktos minētās prasības nedublējas un vienlaikus nerada pārmērīgu slogu projekta iesniedzējiem, ņemot vērā, ka šie nav ieņēmumus gūstoši projekti, piemēram, konkurentu analīze (vai nepieciešama), aprīkojuma cenu izpēte (aprīkojuma pamatojums tiek analizēts citos kritērijos un tas nav tieši saistīts ar izmaksu un ieguvumu analīzi). Piedāvājam par izmaksu un ieguvumu analīzes saturu vienoties atlases nolikuma laikā, bet MK noteikumos aicinām noteikt tikai pamatprasības, dzēšot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Ausmane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52.punktā pasākuma trešās kārtas ietvaros plānotais kopējais attiecināmais finansējums, t.sk., valsts budžeta līdzfinansējums ir noteikts konkrētā apmērā (valsts budžeta līdzfinansējums 314 276 euro), lūdzam attiecīgi precizēt anotācijas 1.3.sadaļas “Pašreizējā situācija, problēmas un risinājumi” apakšsadaļas “Trešā kārta” 24.lpp otro rindkopu no beigām, svītrojot vārdu “vismaz” pirms minētā nacionālā līdzfinansējuma apmēra, kā arī aizstājot skaitli “314 275” ar skaitli “314 276”.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6.2.apakšpunktā norādītā finansējuma sadalījumu pa gadiem un finansējuma avotiem atbilstoši Ministru kabineta noteikumu projekta 6.punktā norādītajam pasākuma īstenošanai plānotajam finansējumam. Vēršam uzmanību, ka minētajā apakšpunktā nav iekļauts pasākuma trešās kārtas īstenošanai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