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24-TA-3290: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16. janvāra noteikumos Nr. 51 "Eiropas Savienības Atveseļošanas un noturības mehānisma plāna 1. komponentes "Klimata pārmaiņas un vides ilgtspēja" reformu un investīciju virziena 1.1. "Emisiju samazināšana transporta sektorā" 1.1.1.r. reformas "Rīgas metropoles areāla transporta sistēmas zaļināšana" 1.1.1.2.i. investīcijas "Videi draudzīgi uzlabojumi Rīgas pilsētas sabiedriskā transporta sistēmā" 1.1.1.2.i.2. un 1.1.1.2.i.3. saistīto pasākumu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1.3.sadaļu "Pašreizējā situācija, problēmas un risinājumi", ar detalizētāku informāciju par pašreizējo situāciju 1.1.1.2.i.2, 1.1.1.2.i.3.pasākumos, t.sk., pēc būtības skaidrojot finansējuma samazinājuma apsvērumus, sākotnēji plānotā Rīgas valstspilsētas pašvaldības projekta neīstenošanas iemeslu, mērķim, kādam finansējums tiks pārdalīts, lai būtu skaidrs pamatojums konkrēto noteikumu grozīšanai.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Puriņa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 sadaļas 6. punktā norādīt gan investīcijas pasākuma īstenošanas kopējo finansējumu, gan tā sadalījumu pa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norādīt, kā tiek aprēķināta finansiālā ietekme uz pašvaldību budžetiem pa gadiem, ievērojot, ka gadījumā, ja investīcijas ietvaros finansējums tiek piešķirts pašvaldības kapitālsabiedrībai, tad attiecīgās PVN izmaksas nav jānorāda pie ietekmes uz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Locāne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 sadaļā precizēt gadus, jo kā kārtējais gads jānorāda 2025. gads.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 sadaļas punktā “Cita informācija” norādīt, ka nepieciešamais Atveseļošanas fonda finansējums investīcijas pasākuma īstenošanai tiks nodrošināts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44.2. komercdarbības atbalsts netiek sniegts finansējuma saņēmējam, uz kuru attiecas līdzekļu atgūšanas rīkojums saskaņā ar </w:t>
            </w:r>
            <w:r w:rsidR="00000000" w:rsidRPr="00000000" w:rsidDel="00000000">
              <w:rPr>
                <w:rtl w:val="0"/>
              </w:rPr>
              <w:t xml:space="preserve">regulas Nr. 651/2014</w:t>
            </w:r>
            <w:r w:rsidR="00000000" w:rsidRPr="00000000" w:rsidDel="00000000">
              <w:rPr>
                <w:rtl w:val="0"/>
              </w:rPr>
              <w:t xml:space="preserve"> 1. panta 4.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Komisijas regulas Nr.651/2014 1.panta 4.punkta a) apakšpunkta un 4.panta 1.punkta nosacījumi ir jāvērtē/jāpiemēro uzņēmuma grupas līmenī, jo Komisijas regulas Nr.651/2014 angliskajā versijā nosacījumi, kas ir attiecināmi uz “undertaking”, ir jāpārbauda/jāpiemēro uzņēmuma grupas līmenī. Ņemot vērā iepriekš minēto, lūdzam precizēt noteikumu projekta 44.2. un 44.3.punktu tā, lai nodrošinātu, ka finansējuma saņēmējs tiek vērtēts grupas līmenī, ņemot vērā visus ar to saistītos uzņēmumus (lūdzam pēc analoģijas skatīt noteikumu 20.punkta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Sarma Liepa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24-TA-3290</w:t>
    </w:r>
    <w:r>
      <w:br/>
    </w:r>
    <w:r w:rsidR="00000000" w:rsidRPr="00000000" w:rsidDel="00000000">
      <w:rPr>
        <w:rtl w:val="0"/>
      </w:rPr>
      <w:t xml:space="preserve">Izdrukāts 15.01.2025. 17.02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24-TA-3290</w:t>
    </w:r>
    <w:r>
      <w:br/>
    </w:r>
    <w:r w:rsidR="00000000" w:rsidRPr="00000000" w:rsidDel="00000000">
      <w:rPr>
        <w:rtl w:val="0"/>
      </w:rPr>
      <w:t xml:space="preserve">Izdrukāts 15.01.2025. 17.02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Atzinumi_24-TA-3290.docx</dc:title>
</cp:coreProperties>
</file>

<file path=docProps/custom.xml><?xml version="1.0" encoding="utf-8"?>
<Properties xmlns="http://schemas.openxmlformats.org/officeDocument/2006/custom-properties" xmlns:vt="http://schemas.openxmlformats.org/officeDocument/2006/docPropsVTypes"/>
</file>