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migrācijas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sniegto skaidrojumu un finansējuma mērķi atbilstoši Ministru kabineta 2024. gada 20. augusta sēdē izskatītā informatīvā ziņojuma “Par valsts pamatbudžeta un valsts speciālā budžeta bāzi un izdevumu pārskatīšanas rezultātiem 2025., 2026., 2027. un 2028. gadam”” protokollēmuma 48. punktam, kurā ir noteikts, ka izdevumi no dotācijas no vispārējiem ieņēmumiem 2 039 066 </w:t>
            </w:r>
            <w:r w:rsidR="00000000" w:rsidRPr="00000000" w:rsidDel="00000000">
              <w:rPr>
                <w:i w:val="1"/>
                <w:rtl w:val="0"/>
              </w:rPr>
              <w:t xml:space="preserve">euro </w:t>
            </w:r>
            <w:r w:rsidR="00000000" w:rsidRPr="00000000" w:rsidDel="00000000">
              <w:rPr>
                <w:rtl w:val="0"/>
              </w:rPr>
              <w:t xml:space="preserve">budžeta apakšprogrammā 11.01.00 “Pilsonības un migrācijas lietu pārvalde” </w:t>
            </w:r>
            <w:r w:rsidR="00000000" w:rsidRPr="00000000" w:rsidDel="00000000">
              <w:rPr>
                <w:u w:val="single"/>
                <w:rtl w:val="0"/>
              </w:rPr>
              <w:t xml:space="preserve">paredzēti, lai nodrošinātu samaksas par virsstundu darbu un piemaksas stratēģisko mērķu sasniegšanu</w:t>
            </w:r>
            <w:r w:rsidR="00000000" w:rsidRPr="00000000" w:rsidDel="00000000">
              <w:rPr>
                <w:rtl w:val="0"/>
              </w:rPr>
              <w:t xml:space="preserve">, veselības apdrošināšanas izdevumu un patvēruma procedūru izdevumu segšanu, kā arī attiecīgi ir precizējami anotācijas 3. un 4.pielikumā sniegtie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1.2.punktā minēto mērķa aprakstu: "Valsts nodevu likmes pārrēķināt atbilstoši Eiropas Savienības normatīvajos dokumentos noteiktajam un, ievērojot Pilsonības un migrācijas lietu pārvaldes faktisko izdevumu palielinājumu sekmīgai migrācijas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nodevas mērķis saskaņā ar likuma "Par nodokļiem un nodevām" 1.panta 2.punktu ir personu darbības regulēšana (kontrolēšana, veicināšana, ierobežošana) un valsts nodevas apmērs nav tiešā veidā saistāms ar institūcijas veiktās darbības izmaksu segšanu, anotācijas mērķa aprakstā atsauce uz faktisko izdevumu palielinājumu sekmīgai procesa nodrošināšanai nav īsti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ir noteiktas anotācijas 3. sadaļas 6.1. apakšpunkta 2. tabulā 3.1. un 3.2. punktos norādītās nodevu likmes, ņemot vērā, ka atbilstoši Ministru kabineta noteikumu projektam 3.1. punktā noteiktās nodevas apmērs ir 14 </w:t>
            </w:r>
            <w:r w:rsidR="00000000" w:rsidRPr="00000000" w:rsidDel="00000000">
              <w:rPr>
                <w:i w:val="1"/>
                <w:rtl w:val="0"/>
              </w:rPr>
              <w:t xml:space="preserve">euro, </w:t>
            </w:r>
            <w:r w:rsidR="00000000" w:rsidRPr="00000000" w:rsidDel="00000000">
              <w:rPr>
                <w:rtl w:val="0"/>
              </w:rPr>
              <w:t xml:space="preserve">3.2. punktā - 7 </w:t>
            </w:r>
            <w:r w:rsidR="00000000" w:rsidRPr="00000000" w:rsidDel="00000000">
              <w:rPr>
                <w:i w:val="1"/>
                <w:rtl w:val="0"/>
              </w:rPr>
              <w:t xml:space="preserve">euro</w:t>
            </w:r>
            <w:r w:rsidR="00000000" w:rsidRPr="00000000" w:rsidDel="00000000">
              <w:rPr>
                <w:rtl w:val="0"/>
              </w:rPr>
              <w:t xml:space="preserve">, 3.3. punktā - 7 </w:t>
            </w:r>
            <w:r w:rsidR="00000000" w:rsidRPr="00000000" w:rsidDel="00000000">
              <w:rPr>
                <w:i w:val="1"/>
                <w:rtl w:val="0"/>
              </w:rPr>
              <w:t xml:space="preserve">euro </w:t>
            </w:r>
            <w:r w:rsidR="00000000" w:rsidRPr="00000000" w:rsidDel="00000000">
              <w:rPr>
                <w:rtl w:val="0"/>
              </w:rPr>
              <w:t xml:space="preserve">un 3.4. punktā noteiktās nodevas likmes apmērs ir 77 </w:t>
            </w:r>
            <w:r w:rsidR="00000000" w:rsidRPr="00000000" w:rsidDel="00000000">
              <w:rPr>
                <w:i w:val="1"/>
                <w:rtl w:val="0"/>
              </w:rPr>
              <w:t xml:space="preserve">euro, </w:t>
            </w:r>
            <w:r w:rsidR="00000000" w:rsidRPr="00000000" w:rsidDel="00000000">
              <w:rPr>
                <w:rtl w:val="0"/>
              </w:rPr>
              <w:t xml:space="preserve">līdz ar to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2. pielikuma "Nodevas veida un nodevas likmes izmaiņu salīdzinājums" 5.1.1. apakšpunkta un 5.3. punkta ailē "Valsts nodevas likmes palielinājums" iekļauto nodevas likmes palielinājumu, ņemot vērā, ka norādītajam palielinājumam pieskaitot pašreiz spēkā esošo likmes apmēru, skaitliski nesanāk ar Ministru kabineta noteikumu projektu noteiktais jaunais likmes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2. pielikuma "Nodevas veida un nodevas likmes izmaiņu salīdzinājums" 2.1. punkta ailē "Normatīvā akta projektā paredzētais valsts nodevas veids" norādīto nodevas likmes apmēru, ņemot vērā, ka Ministru kabineta noteikumu projektā 2.1. punktā ir noteikts, ka likmes apmērs ir palielināts uz 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2024. gada izdevumu pārskatīšanas procesā iesniegt Finanšu ministrijā fiskāli neitrālu priekšlikumu par valsts pamatbudžeta ieņēmumu no valsts nodevas par vīzas, uzturēšanās atļaujas vai Eiropas Savienības pastāvīgā iedzīvotāja statusa Latvijas Republikā pieprasīšanai nepieciešamo dokumentu izskatīšanu un ar to saistītajiem pakalpojumiem 2025. gadā un turpmāk ik gadu 2 092 300 euro apmērā, kā arī dotācijas no vispārējiem ieņēmumiem un izdevumu palielinājumu Iekšlietu ministrijas valsts pamatbudžeta apakšprogrammā 11.01.00 “Pilsonības un migrācijas lietu pārvalde” 2025. gadā un turpmāk ik gadu 2 039 066 euro apmērā, tai skaitā 1 911 641 euro (atlīdzība), lai nodrošinātu  atlīdzības palielinājumu migrācijas jomā nodarbinātajiem, un 127 425 euro (preces un pakalpojumi),  lai nodrošinātu patvēruma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priekšlikums par valsts pamatbudžeta ieņēmumu no valsts nodevas par vīzas, uzturēšanās atļaujas vai Eiropas Savienības pastāvīgā iedzīvotāja statusa Latvijas Republikā pieprasīšanai nepieciešamo dokumentu izskatīšanu un ar to saistītajiem pakalpojumiem un dotācijas no vispārējiem ieņēmumiem un izdevumu, lai nodrošinātu samaksas par virsstundu darbu un piemaksas stratēģisko mērķu sasniegšanu, veselības apdrošināšanas izdevumu un patvēruma procedūru izdevumu segšanu, palielinājumu 2025. gadā un turpmāk ik gadu 2 092 300 </w:t>
            </w:r>
            <w:r w:rsidR="00000000" w:rsidRPr="00000000" w:rsidDel="00000000">
              <w:rPr>
                <w:i w:val="1"/>
                <w:rtl w:val="0"/>
              </w:rPr>
              <w:t xml:space="preserve">euro </w:t>
            </w:r>
            <w:r w:rsidR="00000000" w:rsidRPr="00000000" w:rsidDel="00000000">
              <w:rPr>
                <w:rtl w:val="0"/>
              </w:rPr>
              <w:t xml:space="preserve">apmērā Iekšlietu ministrijas valsts pamatbudžeta apakšprogrammā 11.01.00 “Pilsonības un migrācijas lietu pārvalde” ir jau iekļauts informatīvajā ziņojumā “Par valsts pamatbudžeta un valsts speciālā budžeta bāzi un izdevumu pārskatīšanas rezultātiem 2025., 2026., 2027. un 2028. gadam””, kurš jau ir izskatīts un pieņemts Ministru kabinetā šī gada 20. augusta sēdē, lūdzam svītrot Ministru kabineta noteikumu projektam pievienotajā protokollēmuma projektā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nodevas likmes par ilgtermiņa vīzas pieprasīšanai nepieciešamo dokumentu izskatīšanu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noteikumu projekta 2.punktā iekļauto normu teksta (ievaddaļa un 2.2.apakšpunkts) korelāciju ar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 sadaļas punktu “Cita informācija”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valsts pamatbudžeta ieņēmumu no valsts nodevas par vīzas, uzturēšanās atļaujas vai Eiropas Savienības pastāvīgā iedzīvotāja statusa Latvijas Republikā pieprasīšanai nepieciešamo dokumentu izskatīšanu un ar to saistītajiem pakalpojumiem palielinājumu 2025. gadā un turpmāk ik gadu 2 092 300 euro apmērā ir jau iekļauts informatīvajā ziņojumā “Par valsts pamatbudžeta un valsts speciālā budžeta bāzi un izdevumu pārskatīšanas rezultātiem 2025., 2026., 2027. un 2028. gadam””, kurš jau ir izskatīts un pieņemts Ministru kabinetā šī gada 20. augusta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23.08.2024.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23.08.2024.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Atzinumi_24-TA-1109.docx</dc:title>
</cp:coreProperties>
</file>

<file path=docProps/custom.xml><?xml version="1.0" encoding="utf-8"?>
<Properties xmlns="http://schemas.openxmlformats.org/officeDocument/2006/custom-properties" xmlns:vt="http://schemas.openxmlformats.org/officeDocument/2006/docPropsVTypes"/>
</file>