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 prioritātes "Izglītība, prasmes un mūžizglītība"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plānoto atbalsta veidu (grants).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stratēģiskie partneri – valsts un pašvaldības institūcijas, biedrības, nodibinājumi, jauniešu centri, sociālie partneri, uzņēmēji u.c. kurus projekta īstenošanā ir iesaistījis sadarbības partneris, lai kopīgi apzinātu un motivētu mērķa grupas jauniešus vai sadarbotos mērķa grupas jauniešu individuālās pasākumu programmas un pēcprogrammas mentoringa īstenošanā projekta ietvaros, sadalot partneru lomas, atbildību un funkcijas, kā arī plānojot veicamās darbības un tām atbilstošo attiecināmo izmaksu apmēru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18. panta otrās daļas 2. punktu finansējuma saņēmējam ir tiesības īstenot projektu kopā ar projekta sadarbības partneri. Savukārt projekta sadarbības partnera piesaistes jautājumus regulē Ministru kabineta noteikumu projekts "Kārtība, kādā Eiropas Savienības fondu vadībā iesaistītās institūcijas nodrošina šo fondu ieviešanu 2021.–2027.gada plānošanas periodā" (22-TA-2143). Vēršam uzmanību, ka finansējuma saņēmējs un sadarbības partneris projekta īstenošanā sadarbojas uz sadarbības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stratēģisko partneru lomu un piesaistes nepieciešamības projekta īstenošanā, kā arī atšķirības no sadarbības partnera, kas tiek piesaistīts projekta īstenošanai atbilstoši noteikumu projekta 17.punktam.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šajā iebildumā minētā Ministru kabineta noteikumu projekta "Kārtība, kādā Eiropas Savienības fondu vadībā iesaistītās institūcijas nodrošina šo fondu ieviešanu 2021.–2027.gada plānošanas periodā" (22-TA-2143) 4. punktu sadarbības partneris nav tiesīgs ar projekta īstenošanu saistītās tiesības un pienākumus nodot citai personai. Attiecīgi lūdzam izvērtēt noteikumos ietverto regulējumu un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5.punktā noteikto rādītāju nosaukumu redakcijas ar Eiropas Savienības kohēzijas politikas programmu 2021.–2027.gadam (turpmāk - Programma). Vēršam uzmanību, ka 5.1.apakšpunktā Programmā norādītā iznākuma rādītāja nosaukuma redakcija ir "NEET  jaunieši, kas saņēmuši atbalstu Eiropas Sociālā fonda finansējuma ietvaros", 5.2. apakšpunktā norādītā rezultāta rādītāja nosaukuma redakcija- "Dalībnieki, kuri pēc dalības pārtraukšanas iesaistījušies izglītībā vai mācībās", nepieciešamības gadījumā rādītāja definīciju norādot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atklāta sadarbības projektu iesniegumu konkursa kārtībā projekta īstenošanā var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46.punktā minēto, lai nerastos interpretācijas iespējas ar noteikumu projekta 2.10.apakšpunkta regulējumu, lūdzam papildināt noteikumu projekta 17.punkta otro teikumu ar vārdiem "kā sadarbības partneri" aiz vārdiem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atklāta sadarbības projektu iesniegumu konkursa kārtībā projekta īstenošanā </w:t>
            </w:r>
            <w:r w:rsidR="00000000" w:rsidRPr="00000000" w:rsidDel="00000000">
              <w:rPr>
                <w:b w:val="1"/>
                <w:rtl w:val="0"/>
              </w:rPr>
              <w:t xml:space="preserve">kā sadarbības partneri</w:t>
            </w:r>
            <w:r w:rsidR="00000000" w:rsidRPr="00000000" w:rsidDel="00000000">
              <w:rPr>
                <w:rtl w:val="0"/>
              </w:rPr>
              <w:t xml:space="preserve"> var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atklāta sadarbības projektu iesniegumu konkursa kārtībā projekta īstenošanā var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informāciju kādu atbalstāmo darbību īstenošanā piedalās biedrības vai nodibinājumi, kas veic darbu ar jaunatni un kādas izmaksas attiecas uz minētajiem sadarbības partneriem.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28.1. apakšpunktu, ņemot vērā, ka pēc būtības izmaksas ir attiecināmas uz finansējuma saņēmēju, savukārt finansējuma sadalījuma jautājumus starp finansējuma saņēmēju un sadarbības partneri regulē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darba vietas aprīkojuma, tai skaitā biroja mēbeļu un tehnikas, datorprogrammu un licences iegādes vai īres izmaksas,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attiecīgo apakšpunktu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nosacījumu, ka darba vietas aprīkojuma izmaksas ir attiecināmas tikai jaunradītu darba vietu aprīkošanai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nosacījumu, ka daļlaika izmaksu attiecināšanas principa gadījumā tiek ņemts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28.2.9. telpu, aprīkojuma un iekārtu īres un nomas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28.2.9. un 28.2.10. apakšpunkta redakcijas, ņemot vērā, ka 26.punktā ietilpst arī atbalstāmās darbības projekta vadības un īstenošanas nodrošināšanai (projekta vadības un īstenošanas personāla izmaksas), kam kancelejas preču, telpu nomas utt. izmaksas būtu sedzamas no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27.3.</w:t>
            </w:r>
            <w:r w:rsidR="00000000" w:rsidRPr="00000000" w:rsidDel="00000000">
              <w:rPr>
                <w:rtl w:val="0"/>
              </w:rPr>
              <w:t xml:space="preserve">apakšpunktā minētās neparedzētās izmaksas, kas radušās par papildu darbu veikšanu vai pakalpojumu sniegšanu, kā arī neparedzamu apstākļu dēļ ir kļuvušas nepieciešamas projekta īstenošanai, finansējuma saņēmējs var plānot kā vienu izmaksu pozīciju, kas nepārsniedz piecus procentus no šo noteikumu </w:t>
            </w:r>
            <w:r w:rsidR="00000000" w:rsidRPr="00000000" w:rsidDel="00000000">
              <w:rPr>
                <w:rtl w:val="0"/>
              </w:rPr>
              <w:t xml:space="preserve">27.1.</w:t>
            </w:r>
            <w:r w:rsidR="00000000" w:rsidRPr="00000000" w:rsidDel="00000000">
              <w:rPr>
                <w:rtl w:val="0"/>
              </w:rPr>
              <w:t xml:space="preserve">apakšpunktā minētajām kopējām projekta tiešajām attiecināmajām izmaksām. Neparedzēto izmaksu izlietošanu pirms izdevumu veikšanas finansējuma saņēmējs saskaņo ar sadarbības iestādi, kā to nosaka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vadošās iestādes vadlīniju Nr.1.2. "Vadlīnijas attiecināmo izmaksu noteikšanai Eiropas Savienības kohēzijas politikas programmas 2021.-2027.gada plānošanas periodā" 12.2.apakšpunktu  katrā specifiskā atbalsta mērķī (turpmāk- SAM) minētais procentuālais apmērs ir jāizvērtē individuāli, atkarībā no tā, cik apjomīgus un sarežģītus projektus paredzēts īstenot attiecīgajā SAM, taču tas kopumā nedrīkst pārsniegt 5 % no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noteikumu projekta 30. punktu, papildinot ar nosacījumu, ka neparedzētās izmaksas var izmantot tikai ar projekta īstenošanu saistīto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kopējais finansējums pārsniedz 5 milj. EUR (ieskaitot PVN), lūdzam papildināt ar nosacījumu, kas skaidri pasaka, ka PVN līdzekļus var atgūt no Eiropas Savienības fonda  projekta,</w:t>
            </w:r>
            <w:r w:rsidR="00000000" w:rsidRPr="00000000" w:rsidDel="00000000">
              <w:rPr>
                <w:u w:val="single"/>
                <w:rtl w:val="0"/>
              </w:rPr>
              <w:t xml:space="preserve"> ja vien nav atgūstams saskaņā ar valsts normatīvajiem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 </w:t>
            </w:r>
            <w:r w:rsidR="00000000" w:rsidRPr="00000000" w:rsidDel="00000000">
              <w:rPr>
                <w:shd w:fill="#f1c40f" w:val="clear"/>
                <w:rtl w:val="0"/>
              </w:rPr>
              <w:t xml:space="preserve">ja tas nav atgūstams saskaņā ar valsts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finansējuma saņēmējam šo noteikumu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26.1.2.</w:t>
            </w:r>
            <w:r w:rsidR="00000000" w:rsidRPr="00000000" w:rsidDel="00000000">
              <w:rPr>
                <w:rtl w:val="0"/>
              </w:rPr>
              <w:t xml:space="preserve"> un </w:t>
            </w:r>
            <w:r w:rsidR="00000000" w:rsidRPr="00000000" w:rsidDel="00000000">
              <w:rPr>
                <w:rtl w:val="0"/>
              </w:rPr>
              <w:t xml:space="preserve">26.1.3.</w:t>
            </w:r>
            <w:r w:rsidR="00000000" w:rsidRPr="00000000" w:rsidDel="00000000">
              <w:rPr>
                <w:rtl w:val="0"/>
              </w:rPr>
              <w:t xml:space="preserve"> apakšpunktā minētās izmaksas ir attiecināmas pirms vienošanās ar sadarbības iestādi par projekta īstenošanu noslēgšanai, ja tās atbilst šajos noteikumos minētajām izmaksu pozīcijām un nosacījumiem un ir radušās ne agrāk kā 2023. gada 1.maijā.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32. punkts nosaka, ka izmaksas ir attiecināmas pirms vienošanās par projekta īstenošanu noslēgšanas, lūdzam papildināt anotāciju, sniedzot pamatojumu, kas nosaka finanšu plūsmas pirms projekta apstiprināšanas nodrošināšanas nosacījumus, kā arī atbildīgās iestādes pienākumus un atbildību gadījumos, ja pirms projekta apstiprināšanas radušās izmaksas, kas nav attiecināmas no ES fondu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projekta īstenošanas laikā stājas spēkā vienkāršoto izmaksu horizontālā metodika, kas ir obligāti piemērojama visiem Eiropas Savienības fondu 2021.-2027.gada plānošanas perioda projektiem, tā tiek piemērota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arī atbildīgā iestāde var izstrādāt metodiku un to piemērot konkrētajā pasākumā.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Pasākuma īstenošanas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 nodaļu "Pasākuma īstenošanas nosacījumi" ar normu, kas paredz,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finansējuma saņēmējs un sadarbības partneris paraksta interešu konflikta neesamības apliecinājumu. Gadījumā, ja noteikumu projektā tiek saglabāti arī stratēģiskie partneri, normā norādāms, ka arī stratēģiskie partneri paraksta minēto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ietvaros plānoto darbību izmaksas, kas tiek segtas no citiem valsts un ārvalstu finanšu instrumentiem, nav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pārskatāmu un pareizas finanšu pārvaldības principiem atbilstošu Eiropas Savienības fondu ieviešanu Latvijā, lūdzam izteikt noteikumu projekta 52. punktu jaunā redakcijā, nosakot, ka </w:t>
            </w:r>
            <w:r w:rsidR="00000000" w:rsidRPr="00000000" w:rsidDel="00000000">
              <w:rPr>
                <w:rtl w:val="0"/>
              </w:rPr>
              <w:t xml:space="preserve">finansējuma saņēmējs uzņemas segt sadārdzinājumu,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aprakstīt starpību starp stratēģisko partneri un sadarbības partneri, īpaši gadījumos, kad partneri ir biedrības un nodibinājumi, kas veic darbu ar jaunatni.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demarkācija ar Atveseļošanas un noturības mehānisma plāna  2.3.2.1.i. investīcijas “Digitālās prasmes iedzīvotājiem t.sk. jauniešiem” īstenošanu”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2014.- 2020.gada plānošanas perioda 8.3.3.SAM projekta ietvaros tika izstrādātas metodoloģiskās vadlīnijas darbam ar NEET jauniešiem vecumā no 15 līdz 29 gadiem, kā arī metodoloģiskā atbalsta ietvaros tika izstrādāts mācību saturs programmu vadītājiem, lūdzam skaidrot nepieciešamību 4.2.3.4.pasākuma ietvaros izstrādāt metodoloģisko materiālu darbam ar NEET jauniešiem, kā arī nepieciešamību izstrādāt mācību saturu programmu vadītājiem.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pasākumam piemērojamajiem intervences kodiem. Atbilstoši Programmā norādītajam, pasākumam piemērojams 136. intervences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sniegts skaidrojums, ka 4.2.3.4.pasākuma ietvaros finansējuma saņēmējs īstenos projektu, kas nav saistīts ar saimnieciskās darbības veikšanu un 4.2.3.4. pasākuma ietvaros īstenojamās darbības nav kvalificējamas kā saimnieciskā darbība un komercdarbības atbalsta sniegšana nav paredzēta, lūdzam papildināt anotāciju ar skaidrojumu par to, vai projekta ietvaros projekta iesniedzējam noteiktie pienākumi izriet no tam noteiktajām funkcijām, tai skaitā, kurā dokumentā ir nolasāms deleģējums veikt konkrētās aktivitātes. Skaidrojam, ka gadījumā, ja projekta ietvaros projekta iesniedzējam noteiktie pienākumi neizriet no tam uzlikta valsts pārvaldes uzdevuma, atbalsts tam ir vērtējams komercdarbības atbalsta kontroles kontekstā. Ar līdzīgu skaidrojumu lūdzam papildināt anotāciju arī attiecībā uz sadarbības partneriem - valstspilsētu un novadu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biedrības un nodibinājumi var nodarboties arī ar saimnieciskām darbībām, t.i., piedāvāt preces un pakalpojumus tirgū, kā arī to, ka noteikumu projekta 17.un 46.punkts paredz iespēju, ka finansējuma saņēmējs pasākuma īstenošanā kā sadarbības partneri var iesaistīt biedrības un nodibinājumus, kas veic darbu ar jaunatni, lūdzam papildināt anotāciju ar analīzi komercdarbības atbalsta kontroles kontekstā attiecībā uz minētajiem sadarbības partneriem, proti, vai biedrības un nodibinājumi tiek piesaistīti, piemēram, tiem deleģētu funkciju īstenošanas ietvaros, vai atbalsts tiem tiek sniegts saimniecisko darbību veikšanai un vai vienlaikus izpildās visas Komercdarbības atbalsta kontroles likuma 5.pantā minētās pazīmes, lai atbalstu kvalificētu kā komercdarbības atbalstu (vēršam uzmanību, ka komercdarbības atbalstu iespējams piešķirt tikai, piemērojot atbilstošu komercdarbības atbalsta regulējumu); iespējams, ekonomiskā priekšrocība partneriem kā saimnieciskās darbības veicējiem tiks izslēgta, tos izvēloties atbilstoši noteikumu projekta 48.1.punktā noteiktajai procedūrai. Ja noteikumu projekta virzītājs uzskata, ka biedrības un nodibinājumi pasākuma ietvaros neveiks saimnieciskas aktivitātes, lūdzam to atbilstoši pamatot anotācijā, kā arī norādīt noteikumu projektā. Vienlaikus vēršam uzmanību, tā kā  biedrības un nodibinājumi, lai arī pasākuma ietvaros neveiks saimniecisko darbību, taču vispārīgi var veikt saimniecisko darbību, nepieciešams papildināt anotāciju ar atbilstošu, pamatojumu par to, kā tiks nodalītas saimnieciskās un nesaimnieciskās darbības, lai nodrošinātu, ka atbalsts nesaimnieciskai darbībai netiek novirzīts saimnieciskās darbības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6. punktā "Detalizēts ieņēmumu un izdevumu aprēķins" informācija ir precizējama, jo no šā brīža informācijas nav skaidrs, kā veidojas noteikumu projektā plānotais finansējuma apjoma izlietojums no 2023.gada līdz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3.sadaļas 6.punktā uzrādītais finansējums 2026. gadam 1 093 104 euro neatbilst 2.punktā uzrādītajam finansējumam, kā arī veido matemātisku kļūdu sadalījumā starp Eiropas Sociālā fonda Plus finansējumu 1 105 000 euro un valsts budžeta līdzfinansējums 195 000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4.2. prioritātes "Izglītība, prasmes un mūžizglītība"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svītrojot norādi uz 4.2. prioritāti "Izglītība, prasmes un mūžizglītība", kā arī papildinot ar vārdu "īstenošanas" pirms vārda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anotāciju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“Eiropas Savienības kohēzijas politikas programmas 2021.-2027.gadam” 4.2.prioritātes “Izglītība, prasmes un mūžizglītība”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 4.2.3.4. pasākumu “Sekmēt NEET jauniešu integrēšanos izglītībā un nodarbinātībā”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apakšpunktu, svītrojot vārdus "darbības programmu" un attiecīgi precizējot pēdiņu lietojumu, kā arī svītrot norādi uz 4.2. prioritāti "Izglītība, prasmes un mūžizglītība".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apakšpunktu, paredzot, ka noteikumu projekts nosaka prasības arī finansējuma saņēmējam, ņemot vērā, ka noteikumu projekta II nodaļa "Prasības projekta iesniedzējam un sadarbības partneriem" pēc būtības ietver arī prasības attiecībā uz finansējuma saņēmēju. Atbilstoši lūdzam precizēt arī noteikumu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mērķa grupas jaunieša mentors – pilngadīga persona, kura projekta ietvaros vai Eiropas Savienības struktūrfondu un Kohēzijas fonda 2014.-2020.gada plānošanas periodā darbības programmas "Izaugsme un nodarbinātība”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 īstenotajā projektā “PROTI un DARI!” (turpmāk – projekts “PROTI un DARI!”) ir apguvusi finansējuma saņēmēja organizēto mācību programmu mērķa grupas jauniešu mentoriem un kura sniedz atbalstu mērķa grupas jaunietim mērķa grupas jaunieša individuālās pasākumu programmas īstenošanā un pēcprogrammas mentoringa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2.5.apakšpunktā abreviatūru "NVA" ar vārdiem "Nodarbinātības valsts aģentūra", ņemot vērā, ka iepriekš tekstā attiecīgais saīsinājums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rādītāju veidus atbilstoši vadošās iestādes vadlīnijās Nr.1.4. "Vadlīnijas Ministru kabineta noteikumu par specifiskā atbalsta mērķa īstenošanu izstrādei Eiropas Savienības fondu 2021.—2027. gada plānošanas periodā" noteiktajam, t.i., vārdus "kopējais iznākuma rādītājs" aizstāt ar vārdiem "iznākuma rādītājs, vārdus "kopējo rezultāta rādītājs" aizstāt ar vārdiem "rezultāta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kopējo rezultāta rādītājs – līdz 2029.gada 31.decembrim NEET situācijā esošo jauniešu skaits, kas iesaistījušies izglītībā (mūžizglītība, formālā izglītība) vai mācību pasākumos (ārpus darba, darbavietā, profesionālā apmācība u.c.) Eiropas Sociālā fonda Plus atbalsta ietvaros, – 405, tai skaitā šo noteikumu </w:t>
            </w:r>
            <w:r w:rsidR="00000000" w:rsidRPr="00000000" w:rsidDel="00000000">
              <w:rPr>
                <w:rtl w:val="0"/>
              </w:rPr>
              <w:t xml:space="preserve">12.</w:t>
            </w:r>
            <w:r w:rsidR="00000000" w:rsidRPr="00000000" w:rsidDel="00000000">
              <w:rPr>
                <w:rtl w:val="0"/>
              </w:rPr>
              <w:t xml:space="preserve"> punktā minēto finansējumu  – vismaz 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precizēt noteikumu projekta 5.2. apakšpunkta redakciju, vārdus un skaitļus "tai skaitā šo noteikumu 12. punktā minēto finansējumu – vismaz 340" aizstājot ar vārdiem un skaitļiem "tai skaitā par šo noteikumu 12. punktā minēto finansējumu – vismaz 340."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projekta līmeņa iznākuma rādītājs - NEET situācijā esošo jauniešu skaits, kas sekmīgi izpildījuši pēc mērķa grupas jaunieša individuālo pasākumu programmu Eiropas Sociālā fonda Plus atbalsta ietvaros - 1575. Finansējuma saņēmējs  uzkrāj datus par NEET jauniešu statusu izglītībā vai nodarbinātībā vienu, sešus un divpadsmit mēnešus pēc mērķa grupas jaunieša individuālās pasākumu programmas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pārcelt noteikumu projekta 6.punkta pēdējo teikumu uz noteikumu projekta VII nodaļu "Pasākuma īstenošanas nosacījumi", kur noteikti finansējuma saņēmēja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projekta līmeņa iznākuma rādītājs - NEET situācijā esošo jauniešu skaits, kas sekmīgi izpildījuši pēc mērķa grupas jaunieša individuālo pasākumu programmu Eiropas Sociālā fonda Plus atbalsta ietvaros - 1575. Finansējuma saņēmējs  uzkrāj datus par NEET jauniešu statusu izglītībā vai nodarbinātībā vienu, sešus un divpadsmit mēnešus pēc mērķa grupas jaunieša individuālās pasākumu programmas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rādītāja veidu atbilstoši vadošās iestādes vadlīnijās Nr.1.4. "Vadlīnijas Ministru kabineta noteikumu par specifiskā atbalsta mērķa īstenošanu izstrādei Eiropas Savienības fondu 2021.—2027. gada plānošanas periodā" noteiktajam, t.i., vārdus "nacionālais projekta līmeņa iznākuma rādītājs" aizstāt ar vārdiem "nacionālais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pirmajā teikumā dzēst vārdu "pēc".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9.punktā norādītā informācija ir noteikta Eiropas Savienības fondu 2021.—2027. gada plānošanas perioda vadības likumā, ierosinām dzēst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palielināt pasākumam pieejamo kopējo attiecināmo finansējumu līdz šo noteikumu </w:t>
            </w:r>
            <w:r w:rsidR="00000000" w:rsidRPr="00000000" w:rsidDel="00000000">
              <w:rPr>
                <w:rtl w:val="0"/>
              </w:rPr>
              <w:t xml:space="preserve">11.</w:t>
            </w:r>
            <w:r w:rsidR="00000000" w:rsidRPr="00000000" w:rsidDel="00000000">
              <w:rPr>
                <w:rtl w:val="0"/>
              </w:rPr>
              <w:t xml:space="preserve"> punktā minētajam pasākumam plānotajam maksimālajam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13. punkta redakciju atbilstoši vadlīnijās Nr.1.4. "Vadlīnijas Ministru kabineta noteikumu par specifiskā atbalsta mērķa īstenošanu izstrādei Eiropas Savienības fondu 2021.—2027. gada plānošanas periodā"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kopējo finansējumu līdz šo noteikumu 11.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Attiecināmais Eiropas Sociālā fonda Plus finansējuma apmērs nepārsniedz 85 procentus no pasākuma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noteikumu projekta 14. punkta redakciju atbilstoši vadošās iestādes vadlīnijās Nr.1.4. "Vadlīnijas Ministru kabineta noteikumu par specifiskā atbalsta mērķa īstenošanu izstrādei Eiropas Savienības fondu 2021.—2027. gada plānošanas periodā"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Eiropas Sociālā Fonda plus finansējuma intensitāte ir 85 procenti no projektam plānotā kopējā attiecināmā finansējuma un nacionālais līdzfinansējums nav mazāks par 15 procentiem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minētajā sadarbības līgumā iekļauj vismaz šādus nosacījumus un ziņas par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23. un 24. punktā ietverto regulējumu, pārliecinoties, lai tas nedublē Ministru kabineta noteikumu projekta "Kārtība, kādā Eiropas Savienības fondu vadībā iesaistītās institūcijas nodrošina šo fondu ieviešanu 2021.–2027.gada plānošanas periodā" (22-TA-2143) 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iespēju rašanos, ņemot vērā, kā projektu pēc būtības īsteno finansējuma saņēmējs, lūdzam papildināt anotāciju ar skaidrojumu, ka noteikumu projekta 25. punktā uzskaitītās darbības tiks īstenotas saskaņā ar sadarbības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25.1.1.1. mērķa grupas jaunieša sākotnējā motivēšana iesaistīties projektā un pēc mērķa grupas jaunieša individuālās pasākumu programmas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tehniski precizēt noteikumu projekta 25.1.1.1.apakšpunkta redakciju, svītrojot vārdu "pēc".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25.1.3.1. pēc mērķa grupas jaunieša individuālās pasākumu programmas izstrāde, ņemot vērā profilēšanas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tehniski precizēt noteikumu projekta 25.1.3.1.apakšpunkta redakciju, svītrojot vārdu "pēc".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plāno šādas tiešās attiecināmās izmaksas šādās izmaksu pozīcijās: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projketa 28.1.1., 28.1.2., 28.1.3. un 28.2.1. apakšpunktā vārdus "vienas vienības izmaksu standarta likmju aprēķina un piemērošanas metodika" aizstāt ar "vienkāršoto izmaksu metodika". Nepieciešamības gadījumā rosinām informāciju, ka plānots izstrādāt vienas vienības izmaksu standarta likmes,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 transporta izmaksas (maksa par degvielu, transportlīdzekļa noma, transporta pakalpojumu pirkšana, maksa par sabiedriskā transporta izmantošanu)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 atbilstoši Latvijas Republikas normatīvajiem aktiem, kā arī ievērojot vadošās iestādes izstrādāto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uz "transporta pakalpojumu izmaksas", kā arī salāgot redakcijas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28.2.6. veselības apdrošināšanas izmaksas finansējuma saņēmēja projekta vadības un īstenošanas personālam,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rosinām noteikumu projekta 28.2.6. un 28.2.7. apakšpunktā minētās izmaksas segt, piemērojot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28.2.8. projekta informācijas un publicitātes pasākumu izmaksas atbilstoši normatīvajiem aktiem, kas nosaka kārtību, kādā Eiropas Savienības fondu ieviešanā 2021.–2027. gada plānošanas periodā nodrošināma komunikācijas un vizuālās identitātes prasību ievērošana, šo noteikumu  </w:t>
            </w:r>
            <w:r w:rsidR="00000000" w:rsidRPr="00000000" w:rsidDel="00000000">
              <w:rPr>
                <w:rtl w:val="0"/>
              </w:rPr>
              <w:t xml:space="preserve">26.4.</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dzēst vārdus "atbilstoši normatīvajiem aktiem, kas nosaka kārtību, kādā Eiropas Savienības fondu ieviešanā 2021.–2027. gada plānošanas periodā nodrošināma komunikācijas un vizuālās identitātes prasību ievērošana", ievērojot to, ka informācijas un publicitātes pasākumu īstenošanas nosacījumi noteikti noteikumu projekta 49.punktā.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28.2.10. kancelejas preču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šādas izmaksas nav iespējams iekļaut netiešajās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mērķa grupas jaunieša iesniegumu, ar ko viņš apliecina atbilstību projekta mērķa grupai (ja mērķa grupas jaunietis ir nepilngadīgs vai atzīts par personu ar ierobežotu rīcībspēju, iesniegumu paraksta arī mērķa grupas jaunieša likumiskais pārstāvis – vecāks, aizbildnis vai aizgādnis);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noteikumu projekta 35.1. apakšpunktā paredzēts pienākums mērķa grupas jaunietim iesniegt iesniegumu, apliecinot atbilstību projekta mērķa grupai, ja noteikumu projekta anotācijas 8.1.13. apakšsadaļā "uz datu aizsardzību" ir norādīts, ka pirms iesaistes sadarbības partneris veiks NEET jaunieša atbilstības pārbaudi projekta mērķa grupai, tai skaitā izmantojot sociālās palīdzības un sociālo pakalpojumu administrēšanas lietojumprogrammu un informāciju no citām pieejamajām datu 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25 darbdienu laikā (ja nav nepieciešami precizējumi vai papildu dokumentācija no sadarbības partnera) izvērtē un apstiprina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Izvērtējot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finansējuma saņēmējs pārliecinās par projektā iesaistīto jauniešu atbilstību šo noteikumu </w:t>
            </w:r>
            <w:r w:rsidR="00000000" w:rsidRPr="00000000" w:rsidDel="00000000">
              <w:rPr>
                <w:rtl w:val="0"/>
              </w:rPr>
              <w:t xml:space="preserve">4.</w:t>
            </w:r>
            <w:r w:rsidR="00000000" w:rsidRPr="00000000" w:rsidDel="00000000">
              <w:rPr>
                <w:rtl w:val="0"/>
              </w:rPr>
              <w:t xml:space="preserve">punktā definētajai mērķa grupai pirms iesaistes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apakšsadaļu "uz datu aizsardzību" ar informāciju, kā finansējuma saņēmējs plāno pārliecināties par projektā iesaistīto jauniešu atbilstību mērķa grupai, nepieciešamības gadījumā lūdzam papildināt noteikumu projektu ar atbilstošu regulējumu, ievērojot Ministru kabineta 2022.gada 13. decembra sēdes protokollēmuma (prot. Nr. 64 6. §) 3.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finansējuma saņēmējs publiskos iepirkumus veic atklātā, pārredzamā, nediskriminējošā un konkurenci nodrošinošā procedūrā saskaņā ar Eiropas Savienības un Latvijas Republikas normatīvajiem aktiem šo noteikumu </w:t>
            </w:r>
            <w:r w:rsidR="00000000" w:rsidRPr="00000000" w:rsidDel="00000000">
              <w:rPr>
                <w:rtl w:val="0"/>
              </w:rPr>
              <w:t xml:space="preserve">26.1.</w:t>
            </w:r>
            <w:r w:rsidR="00000000" w:rsidRPr="00000000" w:rsidDel="00000000">
              <w:rPr>
                <w:rtl w:val="0"/>
              </w:rPr>
              <w:t xml:space="preserve">apakšpunktā minēto atbalstāmo darbību ietvaros, lai nodrošinātu metodoloģiskā atbalsta sniegšanu sadarbības partneriem visos projekta īstenošanas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48.1.apakšpunktu arī ar sadarbības partneri, ņemot vērā, ka tam tiek uzticēta atbalstāmo darbību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finansējuma saņēmējs publiskos iepirkumus veic atklātā, pārredzamā, nediskriminējošā un konkurenci nodrošinošā procedūrā saskaņā ar Eiropas Savienības un Latvijas Republikas normatīvajiem aktiem šo noteikumu </w:t>
            </w:r>
            <w:r w:rsidR="00000000" w:rsidRPr="00000000" w:rsidDel="00000000">
              <w:rPr>
                <w:rtl w:val="0"/>
              </w:rPr>
              <w:t xml:space="preserve">26.1.</w:t>
            </w:r>
            <w:r w:rsidR="00000000" w:rsidRPr="00000000" w:rsidDel="00000000">
              <w:rPr>
                <w:rtl w:val="0"/>
              </w:rPr>
              <w:t xml:space="preserve">apakšpunktā minēto atbalstāmo darbību ietvaros, lai nodrošinātu metodoloģiskā atbalsta sniegšanu sadarbības partneriem visos projekta īstenošanas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iespēju attiecībā uz iepirkumiem piemērot sociāli atbildīgu publisko iepirkumu un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īstenojot projektu, finansējuma saņēmējs uzkrāj datus par šādu horizontālā principa "Vienlīdzīgas iespējas" rādītāju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horizontālā principa nosaukumu uz "Vienlīdzība, iekļaušana, nediskriminācija un pamattiesību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finansējuma saņēmējs un sadarbības partneri par projekta ietvaros atbalstu saņēmušajiem jauniešiem uzkrāj informāciju atbilstoši Eiropas Parlamenta un Padomes 2021. gada 24. jūnija Regulas (ES) Nr. 2021/1057, ar ko izveido Eiropas Sociālo fondu Plus un atceļ Regulu (ES) Nr.1296/2013, I un II pielikumam un normatīvajiem aktiem, kas nosaka Eiropas Savienības fondu projektu pārbaužu veikšanas kārtību 2021.-2027. gada plānošanas periodā, kā arī maksājuma pieprasījuma veidlapā noteiktajiem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48.4. apakšpunktu, ņemot vērā, ka Eiropas Savienības fondu 2021.-2027.gada plānošanas periodā informācija netiek uzkrāta atbilstoši maksājuma pieprasījuma veidlapā noteiktajiem datiem, tā vietā norādot Ministru kabineta 2023. gada 21. marta noteikumu Nr. 135 "Eiropas Savienības fondu projektu pārbaužu veikšanas kārtība 2021.–2027. gada plānošanas periodā"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finansējuma saņēmējs un sadarbības partneri par projekta ietvaros atbalstu saņēmušajiem jauniešiem uzkrāj informāciju atbilstoši Eiropas Parlamenta un Padomes 2021. gada 24. jūnija Regulas (ES) Nr. 2021/1057, ar ko izveido Eiropas Sociālo fondu Plus un atceļ Regulu (ES) Nr.1296/2013, I un II pielikumam un normatīvajiem aktiem, kas nosaka Eiropas Savienības fondu projektu pārbaužu veikšanas kārtību 2021.-2027. gada plānošanas periodā, kā arī maksājuma pieprasījuma veidlapā noteiktajiem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regulas II pielikumu, jo tas neattiecas uz 4.2.3. 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uzraudzībai Izglītības un zinātnes ministrija  izveido projekta uzraudzības padomi, kurā pieaicina vismaz vienu pārstāvi no atbildīgās iestādes, Jaunatnes starptautisko programmu aģentūras, Latvijas Pašvaldību savienības, Latvijas Jaunatnes padomes, Labklājības ministrijas un citām organizācijām un institūcijām, ja nepieciešams. Uzraudzības padomes sastāvā novērotāju statusā var tikt iekļauti pārstāvji arī no citām organizācijām un institūcijām, tai skaitā no vadošās iestādes un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Eiropas Savienības fondu regulējošiem normatīviem aktiem, projektu īstenošanu uzrauga sadarbības iestāde un atbildīgā iestāde, lūdzam papildināt anotāciju ar izvērstāku skaidrojumu par uzraudzības padomes izveidošanu, norādot, pamatojumu un mērķi padomes izveidei, skaidri norādot, ka padomi izveido Izglītības un zinātnes ministrija kā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pieaicināt uz padomes sastāvā vadošās iestādes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i w:val="1"/>
                <w:rtl w:val="0"/>
              </w:rPr>
              <w:t xml:space="preserve">Vadlīnijās Ministru kabineta noteikumu par specifiskā atbalsta mērķa īstenošanu izstrādei Eiropas Savienības fondu 2021.—2027. gada plānošanas periodā </w:t>
            </w:r>
            <w:r w:rsidR="00000000" w:rsidRPr="00000000" w:rsidDel="00000000">
              <w:rPr>
                <w:rtl w:val="0"/>
              </w:rPr>
              <w:t xml:space="preserve">noteikto, ka atbildīgās iestādes var ierosināt palielināt pieejamo finansējumu līdz SAM plānotā kopējā finansējuma apmēram no 2026. gada 1. janvāra (pēc Eiropas Komisijas lēmuma par vidusposma pārskatu), lūgums koriģēt informāciju anotācijā (norādīts, ka atbildīgā iestāde to ierosina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 sadaļas "Projekta izstrādē iesaistītās institūcijas un sabiedrības līdzdalības process" apakšsadaļa "Skaidrojums" paredz, ka noteikumu projekts pirms saskaņošanas tiek nodots sabiedriskajai apspriešanai, lūdzam precizēt 6. sadaļas apakšsadaļu "Sabiedrības līdzdalība uz šo tiesību akta projektu neattiecas", aizstājot vārdu "Jā" ar vārdu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sadaļu "Projekta izstrādē iesaistītās institūcijas un sabiedrības līdzdalības process" ar informāciju par nozares/ jomas pārstāvošu biedrību, nodibinājumu, nevalstisko organizāciju iesaisti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prezidenta 2021. gada 7.septembra rezolūcijai Nr. 2021-1.1.1./50-50, izstrādājot specifisko atbalsta mērķu un to pasākumu ieviešanas nosacījumus Eiropas Savienības fondu 2021.—2027.gada plānošanas perioda atbalsta saņemšanai institūcijas atbildībā esošajās jomās, tiek lūgts jēgpilni iesaistīt attiecīgajā jomā strādājošās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ietekmi uz personas datu aizsardzības jautājumiem, rosinām lūgt Datu valsts inspekcijas viedokli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īstenotais projekts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Programmā norādītājam 4.2.3.SAM ietvaros paredzētās darbības var sniegt ieguldījumu ESSBJR politikas virziena “Izglītība”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izstrādātajām vadlīnijām "Vadlīnijas Ministru kabineta noteikumu par specifiskā atbalsta mērķa īstenošanu izstrādei Eiropas Savienības fondu 2021.—2027. gada plānošanas periodā" anotācijas 8.2.sadaļā ir jāiekļauj informācija par horizontālo principu ietekmi un plānoto uzraudzību, lūdzam attiecīgi papildināt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21.06.2023.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21.06.2023.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Atzinumi_23-TA-139.docx</dc:title>
</cp:coreProperties>
</file>

<file path=docProps/custom.xml><?xml version="1.0" encoding="utf-8"?>
<Properties xmlns="http://schemas.openxmlformats.org/officeDocument/2006/custom-properties" xmlns:vt="http://schemas.openxmlformats.org/officeDocument/2006/docPropsVTypes"/>
</file>