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ar Zemkopības ministrijas tiesību aktu par Valsts un Eiropas Savienības atbalsta piešķiršanas kārtība atklātu projektu konkursa veidā Eiropas lauksaimniecības fonda lauku attīstībai investīcijām materiālajos aktīvos 2023.–2027. gada plānošanas periodā un secina, ka anotācijas 2.2. sadaļā tiek norādīts, ka atbalsts ir paredzēts eksportspējīgiem uzņēmumiem, lai īstenotu ieguldījumus šo uzņēmumu produktivitātes celšanā [..]. Aicinām anotāciju papildināt ar eksporta pieauguma rādītājiem, ko spēs atbalsta programmas ietvaros sasniegt, vai un cik plānota palielināties eksportspējīgu produktu palielinājums Latvijas tautsaimniecībā ar augstu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18.03.2024.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18.03.2024.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Atzinumi_23-TA-1439.docx</dc:title>
</cp:coreProperties>
</file>

<file path=docProps/custom.xml><?xml version="1.0" encoding="utf-8"?>
<Properties xmlns="http://schemas.openxmlformats.org/officeDocument/2006/custom-properties" xmlns:vt="http://schemas.openxmlformats.org/officeDocument/2006/docPropsVTypes"/>
</file>