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septembra noteikumos Nr. 509 "Eiropas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precizēt un samazināt pasākuma īstenošanai plānoto kopējo finansējumu, lūdzam attiecīgi aizpildīt anotācijas 3.sadaļu, sniedzot informāciju par projekta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samazināts finansējums, lūdzam papildināt anotācijas 1.3. sadaļu “Pašreizējā situācija, problēmas un risinājumi” ar finansējuma sadalījumu starp Eiropas Savienības kohēzijas politikas programmas 2021.–2027. gadam intervences kodiem.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Geidāne (CFLA)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1.3.sadaļas problēmas aprakstā tiek skaidrots, ka "MK noteikumos Nr. 509 noteiktie iznākuma un rezultāta rādītāji [3] ir sasniegti, tomēr papildu piešķirtā elastības finansējuma ietvaros projekta darbību īstenošanai finansējuma saņēmējam nepieciešams pagarināt termiņu". Papildus anotācijā minot, ka termiņa pagarinājums tapis atsaucoties uz finansējuma saņēmēja lūgumu. Lūdzam minēto skaidrojumu papildināt un norādīt izvērstākus termiņa pagarināšanas nepieciešamības iemeslus.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Broks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1.3.sadaļu un skaidrot noteikumu projekta ietekmi uz finansējuma saņēmējiem, līgumos nostiprinātajām saistībām un noteiktajiem projekta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Broks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finansējums ir 1 704 368 </w:t>
            </w:r>
            <w:r w:rsidR="00000000" w:rsidRPr="00000000" w:rsidDel="00000000">
              <w:rPr>
                <w:i w:val="1"/>
                <w:rtl w:val="0"/>
              </w:rPr>
              <w:t xml:space="preserve">euro </w:t>
            </w:r>
            <w:r w:rsidR="00000000" w:rsidRPr="00000000" w:rsidDel="00000000">
              <w:rPr>
                <w:rtl w:val="0"/>
              </w:rPr>
              <w:t xml:space="preserve">(tai skaitā elastības finansējums 238 896 </w:t>
            </w:r>
            <w:r w:rsidR="00000000" w:rsidRPr="00000000" w:rsidDel="00000000">
              <w:rPr>
                <w:i w:val="1"/>
                <w:rtl w:val="0"/>
              </w:rPr>
              <w:t xml:space="preserve">euro</w:t>
            </w:r>
            <w:r w:rsidR="00000000" w:rsidRPr="00000000" w:rsidDel="00000000">
              <w:rPr>
                <w:rtl w:val="0"/>
              </w:rPr>
              <w:t xml:space="preserve">), tai skaitā Eiropas Sociālā fonda Plus finansējums 1 448 713​​​​​​​ </w:t>
            </w:r>
            <w:r w:rsidR="00000000" w:rsidRPr="00000000" w:rsidDel="00000000">
              <w:rPr>
                <w:i w:val="1"/>
                <w:rtl w:val="0"/>
              </w:rPr>
              <w:t xml:space="preserve">euro </w:t>
            </w:r>
            <w:r w:rsidR="00000000" w:rsidRPr="00000000" w:rsidDel="00000000">
              <w:rPr>
                <w:rtl w:val="0"/>
              </w:rPr>
              <w:t xml:space="preserve">(tai skaitā elastības finansējums 203 062 </w:t>
            </w:r>
            <w:r w:rsidR="00000000" w:rsidRPr="00000000" w:rsidDel="00000000">
              <w:rPr>
                <w:i w:val="1"/>
                <w:rtl w:val="0"/>
              </w:rPr>
              <w:t xml:space="preserve">euro</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un valsts budžeta līdzfinansējums 255 655​​​​​​​ </w:t>
            </w:r>
            <w:r w:rsidR="00000000" w:rsidRPr="00000000" w:rsidDel="00000000">
              <w:rPr>
                <w:i w:val="1"/>
                <w:rtl w:val="0"/>
              </w:rPr>
              <w:t xml:space="preserve">euro </w:t>
            </w:r>
            <w:r w:rsidR="00000000" w:rsidRPr="00000000" w:rsidDel="00000000">
              <w:rPr>
                <w:rtl w:val="0"/>
              </w:rPr>
              <w:t xml:space="preserve">(tai skaitā elastības finansējums 35 834​​​​​​​ </w:t>
            </w:r>
            <w:r w:rsidR="00000000" w:rsidRPr="00000000" w:rsidDel="00000000">
              <w:rPr>
                <w:i w:val="1"/>
                <w:rtl w:val="0"/>
              </w:rPr>
              <w:t xml:space="preserve">euro</w:t>
            </w:r>
            <w:r w:rsidR="00000000" w:rsidRPr="00000000" w:rsidDel="00000000">
              <w:rPr>
                <w:rtl w:val="0"/>
              </w:rPr>
              <w:t xml:space="preserve">). Maksimālais Eiropas Sociālā fonda Plus finansējuma apmērs nepārsniedz 85 procentus no projekta kopējā attiecināmā finansējuma.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6.punktā norādīto finansējumu, lai nodrošinātu, ka Eiropas Sociālā fonda Plus finansējums nepārsniedz 85% atbilstoši Eiropas Savienības kohēzijas politikas programmas 2021.–2027. gadam (turpmāk - Programma) papildinājumā norādītajam, kas ir pieejams Eiropas Savienības fondu mājas lapā šeit: https://www.esfondi.lv/profesionaliem/planosana/planotas-atlases-2.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svītrot informāciju attiecībā uz elastības finansējumu (noteikumiu 6. un 8. punkts), ņemot vērā, ka ir saņemts Eiropas Komisijas lēmums par vidusposma pārskatu, kā arī Programmā ir veikti attiecīgi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kopējais </w:t>
            </w:r>
            <w:r w:rsidR="00000000" w:rsidRPr="00000000" w:rsidDel="00000000">
              <w:rPr>
                <w:b w:val="1"/>
                <w:rtl w:val="0"/>
              </w:rPr>
              <w:t xml:space="preserve">pieejamais </w:t>
            </w:r>
            <w:r w:rsidR="00000000" w:rsidRPr="00000000" w:rsidDel="00000000">
              <w:rPr>
                <w:rtl w:val="0"/>
              </w:rPr>
              <w:t xml:space="preserve">finansējums ir 1 704 36</w:t>
            </w:r>
            <w:r w:rsidR="00000000" w:rsidRPr="00000000" w:rsidDel="00000000">
              <w:rPr>
                <w:b w:val="1"/>
                <w:rtl w:val="0"/>
              </w:rPr>
              <w:t xml:space="preserve">9</w:t>
            </w:r>
            <w:r w:rsidR="00000000" w:rsidRPr="00000000" w:rsidDel="00000000">
              <w:rPr>
                <w:rtl w:val="0"/>
              </w:rPr>
              <w:t xml:space="preserve"> euro, tai skaitā Eiropas Sociālā fonda Plus finansējums 1 448 713 euro un valsts budžeta līdzfinansējums 255 65</w:t>
            </w:r>
            <w:r w:rsidR="00000000" w:rsidRPr="00000000" w:rsidDel="00000000">
              <w:rPr>
                <w:b w:val="1"/>
                <w:rtl w:val="0"/>
              </w:rPr>
              <w:t xml:space="preserve">6</w:t>
            </w:r>
            <w:r w:rsidR="00000000" w:rsidRPr="00000000" w:rsidDel="00000000">
              <w:rPr>
                <w:rtl w:val="0"/>
              </w:rPr>
              <w:t xml:space="preserve"> euro. Maksimālais Eiropas Sociālā fonda Plus finansējuma apmērs nepārsniedz 85 procentus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i w:val="1"/>
                <w:rtl w:val="0"/>
              </w:rPr>
              <w:t xml:space="preserve">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ne retāk kā reizi trijos mēnešos ievieto savā tīmekļvietnē aktuālo informāciju par projekta īstenošanu;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Aicinājums izvērtēt un nenoteikt stingrākas prasības par tām, kas paredzētas ES fondu 2021.–2027. gada un Atveseļošanas fonda komunikācijas un dizaina vadlīnijās. Esošajā redakcijā ir noteikts, ka informācija jāaktualizē ne retāk kā reizi trijos mēnešos, taču ierosinām norādīt tikai to, ka informācija jāaktualizē, ja tas ir nepieciešams, nenosakot konkrētu biežumu. Tas ļautu saglabāt prasības atbilstošas vadlīnijām, neieviešot stingrākus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Geidāne (CFLA)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 projekta īstenošanas laikā nodrošina interešu konflikta neesību saskaņā ar Eiropas Parlamenta un Padomes 2024. gada 23. septembra </w:t>
            </w:r>
            <w:r w:rsidR="00000000" w:rsidRPr="00000000" w:rsidDel="00000000">
              <w:rPr>
                <w:rtl w:val="0"/>
              </w:rPr>
              <w:t xml:space="preserve">Regulas (ES, Euratom) 2024/2509</w:t>
            </w:r>
            <w:r w:rsidR="00000000" w:rsidRPr="00000000" w:rsidDel="00000000">
              <w:rPr>
                <w:rtl w:val="0"/>
              </w:rPr>
              <w:t xml:space="preserve"> par finanšu noteikumiem, ko piemēro Savienības vispārējam budžetam (pārstrādāta redakcija), 61. panta prasībām, tai skaitā paraksta apliecinājumu.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izvērtējama Ministru kabineta 2023. gada 5. septembra noteikumu Nr. 509 "Eiropas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 (turpmāk - noteikumi) 22.9. apakšpunktā ietvertās atsauces uz Eiropas Parlamenta un Padomes 2024. gada 23. septembra Regulas (ES, Euratom) 2024/2509 par finanšu noteikumiem, ko piemēro Savienības vispārējam budžetam (pārstrādātā redakcija) (turpmāk - Regula) 61. pantu pamatotība.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regulējums ir tieši piemērojams tādiem projektiem, kas saistīti ar Eiropas Savienības fondu atbalsta saņemšanu un vienlaikus kuros atbilstoši specifiskā atbalsta mērķim finansējuma saņēmējs atlases kārtībā Eiropas Savienības fondu projekta dalībniekiem vai gala saņēmējiem sniedz finansiālu atbalstu (t.s. daudzpakāpju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šīs nav uzskatāms par daudzpakāpju projektu, interešu konflikta neesības prasības noteikšana noteikumos nav pamatota, tādēļ aicinām precizēt noteikumu projekta 4. punktu un svītrot noteikumu 22.9. apakšpunktā norādīto interešu konflikta neesības apliecinājuma prasību, kā arī atsauci uz Regulas 61.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Broks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26-TA-546</w:t>
    </w:r>
    <w:r>
      <w:br/>
    </w:r>
    <w:r w:rsidR="00000000" w:rsidRPr="00000000" w:rsidDel="00000000">
      <w:rPr>
        <w:rtl w:val="0"/>
      </w:rPr>
      <w:t xml:space="preserve">Izdrukāts 10.04.2026. 14.10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26-TA-546</w:t>
    </w:r>
    <w:r>
      <w:br/>
    </w:r>
    <w:r w:rsidR="00000000" w:rsidRPr="00000000" w:rsidDel="00000000">
      <w:rPr>
        <w:rtl w:val="0"/>
      </w:rPr>
      <w:t xml:space="preserve">Izdrukāts 10.04.2026. 14.10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Atzinumi_26-TA-546.docx</dc:title>
</cp:coreProperties>
</file>

<file path=docProps/custom.xml><?xml version="1.0" encoding="utf-8"?>
<Properties xmlns="http://schemas.openxmlformats.org/officeDocument/2006/custom-properties" xmlns:vt="http://schemas.openxmlformats.org/officeDocument/2006/docPropsVTypes"/>
</file>