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Epidemioloģiskās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(turpmāk - anotācija) ir norādīts, ka ViVat sistēma izmanto Nacionālā veselības dienesta informācijas sistēmās pieejamos personas identifikācijas datus, šāda personas identifikācijas datu aprite (esošais risinājums) var pastāvēt, līdz tiks izstrādāts risinājums personas datu saņemšanai no Fizisko personu reģistra (personas kods, arī iepriekšējais personas kods, ja tāds ir mainīts, vārds, uzvārds), kuru pārzinis ir Pilsonības un migrācijas lietu pārvalde un līdz risinājuma izstrādei netiek pieprasīti papildu personu identifikācijas dati no Pilsonības un migrācijas lietu pārvaldes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lūdzam papildināt likumprojekta anotāciju ar informāciju par to, kāda tehniskā risinājuma ietvaros Nacionālais veselības dienests uzsāks personas datu pieprasīšanu no Fizisko personu reģistra un kad to paredzēts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30.08.2023. 23.11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30.08.2023. 23.11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Atzinumi_23-TA-1354.docx</dc:title>
</cp:coreProperties>
</file>

<file path=docProps/custom.xml><?xml version="1.0" encoding="utf-8"?>
<Properties xmlns="http://schemas.openxmlformats.org/officeDocument/2006/custom-properties" xmlns:vt="http://schemas.openxmlformats.org/officeDocument/2006/docPropsVTypes"/>
</file>