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Mediju politikas pamatnostādņu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iesniegtajiem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IZM  kā atbildīgo institūciju par Plāna uzdevuma Nr. 2.3.5. izpildi, norādot kā atbildīgos - Augstākās izglītības iestādes, atbilstoši Augstskolu likuma 56.1 pantam, kas nosaka, ka augstskolas nosaka kārtību, kādā izstrādājami un iekļaujami studiju kursi studiju programmās. Lūgums dzēst, ka uzdevums 2.3.5. tiks īstenots IZM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uzdevumu 2.3.4., precizējot darbības rezultātu, atbildīgo un līdzatbildīgo institūciju, kā arī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ieviest monitoringa darbus tekstpratībā 3. un 6. klasei.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iegūšana datos balstītu lēmumu pieņemšanai par skolēnu tekstpratību, </w:t>
            </w:r>
            <w:r w:rsidR="00000000" w:rsidRPr="00000000" w:rsidDel="00000000">
              <w:rPr>
                <w:b w:val="1"/>
                <w:rtl w:val="0"/>
              </w:rPr>
              <w:t xml:space="preserve">tai skaitā,</w:t>
            </w:r>
            <w:r w:rsidR="00000000" w:rsidRPr="00000000" w:rsidDel="00000000">
              <w:rPr>
                <w:rtl w:val="0"/>
              </w:rPr>
              <w:t xml:space="preserve"> medijpratības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Iegūti dati par tekstpratību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w:t>
            </w:r>
            <w:r w:rsidR="00000000" w:rsidRPr="00000000" w:rsidDel="00000000">
              <w:rPr>
                <w:b w:val="1"/>
                <w:rtl w:val="0"/>
              </w:rPr>
              <w:t xml:space="preserve">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 institūcija: </w:t>
            </w:r>
            <w:r w:rsidR="00000000" w:rsidRPr="00000000" w:rsidDel="00000000">
              <w:rPr>
                <w:b w:val="1"/>
                <w:rtl w:val="0"/>
              </w:rPr>
              <w:t xml:space="preserve">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2026.gada II pusgads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arī precizēt uzdevuma 2.3.4. budžeta pozīciju, norādot, ka pasākums tiks īstenots ESF+ 4.2.2.4.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plānā viens no rīcības virzieniem ir "Droša vide" un tā 2.3. apakšpunkts "Uzlabot sabiedrības medijpratību, īstenojot koordinētu un stratēģisku pieeju." lūdzam iekļaut plāna kopsavilkuma sadaļā atsauci uz Jaunatnes politikas īstenošanas plānu 2025.–2027. gadam, kurā atrunāti jauniešu medijpratības veicināšanas jautājumi, kā arī sniegt informāciju par plāna sasaisti ar citiem Eiropas Savienības un valsts līmeņa attīstības plānošanas dokumentiem, atbilstoši Ministru kabineta noteikumi Nr.737 "Attīstības plānošanas dokumentu izstrādes un ietekmes izvērtēšanas noteikumi" 25.2.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Mencendorfa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izsaka priekšlikumu </w:t>
            </w:r>
            <w:r w:rsidR="00000000" w:rsidRPr="00000000" w:rsidDel="00000000">
              <w:rPr>
                <w:b w:val="1"/>
                <w:rtl w:val="0"/>
              </w:rPr>
              <w:t xml:space="preserve">pie plāna pasākuma 2.3.5. “Nodrošināt topošajiem pedagogiem kompetenču apguvi medijpratībā darbam izglītības iestādē” dzēst ministriju kā atbildīgo institūciju</w:t>
            </w:r>
            <w:r w:rsidR="00000000" w:rsidRPr="00000000" w:rsidDel="00000000">
              <w:rPr>
                <w:rtl w:val="0"/>
              </w:rPr>
              <w:t xml:space="preserve">, jo par studiju programmu saturu lemj augstskolas, kas noteikts Augstskolu likuma 4. panta “Augstskolu autonomija” 3. daļā - Augstskolai ir tiesības patstāvīgi: [..] 4) noteikt studiju programmu saturu un 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Zariņa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28.04.2025.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Atzinumi_25-TA-123.docx</dc:title>
</cp:coreProperties>
</file>

<file path=docProps/custom.xml><?xml version="1.0" encoding="utf-8"?>
<Properties xmlns="http://schemas.openxmlformats.org/officeDocument/2006/custom-properties" xmlns:vt="http://schemas.openxmlformats.org/officeDocument/2006/docPropsVTypes"/>
</file>