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Meža prospektā 42A,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privatizācijas un kadastra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(Papildinājums_kadastra dati un VNĪ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atbilstoši Meža likuma 44. panta ceturtās daļas 5. punktā noteiktajam saņemt Ministru kabineta atļauju, privatizējot nekustamā īpašuma domājamās daļas, privatizēt arī tā sastāvā ietilpstošās valstij piederošajās domājamās daļas no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projekta anotācijā norādīto privatizācijas ierosinājums saņemts SIA “Publisko aktīvu pārvaldītājs Possessor” 2006. gada 14. augustā, savukārt normatīvais regulējums Meža likumā, kas ļauj privatizēt valsts meža zemi, stājās spēkā tikai 2021. gada 19. maijā, līdz ar to līdz šim brīdim valsts meža zeme nevarēja tikt privatizēta.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kāpēc, ņemot vērā tā laika esošo normatīvo regulējumu, privatizācijas ierosinājums netika atteikts, bet tiek virzīts tālāk tikai tagad un vai iesniedzējam vēl jo projām ir aktuāls. Līdz ar to lūdzam papildināt anotāciju ar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21.03.2023.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21.03.2023.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Atzinumi_22-TA-3743.docx</dc:title>
</cp:coreProperties>
</file>

<file path=docProps/custom.xml><?xml version="1.0" encoding="utf-8"?>
<Properties xmlns="http://schemas.openxmlformats.org/officeDocument/2006/custom-properties" xmlns:vt="http://schemas.openxmlformats.org/officeDocument/2006/docPropsVTypes"/>
</file>