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Pacientu tiesību likumā" anotācijas 1.3. sadaļas apakšsadaļā "Risinājuma apraksts" ir minēts, ka pacienta rīkojuma veidlapas projekts atrodams anotācijas pielikumā, tomēr Ekonomikas ministrija norāda, ka anotācijas pielikumā ir pievienoti tikai izmaksu aprēķini par valsts apmaksātām konsultācijām pie ģimenes ārsta vai pie ārstējošā ārsta par pacienta rīkojumā izteiktās gribas sekām, kā arī infrastruktūras un programmatūras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aicina papildināt anotācijas pielikumu atbilstoši anotācijas 1.3. sadaļas apakšsadaļā "Risinājuma apraksts"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Atzinumi_23-TA-1780.docx</dc:title>
</cp:coreProperties>
</file>

<file path=docProps/custom.xml><?xml version="1.0" encoding="utf-8"?>
<Properties xmlns="http://schemas.openxmlformats.org/officeDocument/2006/custom-properties" xmlns:vt="http://schemas.openxmlformats.org/officeDocument/2006/docPropsVTypes"/>
</file>