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Finansējuma saņēmējs un sadarbības partneris nodrošina, ka tiek parakstīts interešu konflikta neesamības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17. punkta pēdējo teikumu nosakot, ka f</w:t>
            </w:r>
            <w:r w:rsidR="00000000" w:rsidRPr="00000000" w:rsidDel="00000000">
              <w:rPr>
                <w:u w:val="single"/>
                <w:rtl w:val="0"/>
              </w:rPr>
              <w:t xml:space="preserve">inansējuma saņēmējs un sadarbības partneris paraksta</w:t>
            </w:r>
            <w:r w:rsidR="00000000" w:rsidRPr="00000000" w:rsidDel="00000000">
              <w:rPr>
                <w:rtl w:val="0"/>
              </w:rPr>
              <w:t xml:space="preserve"> interešu konflikta neesamības apliecinājumu. Papildus vēršam uzmanību, ka apliecinājumā obligāti ietver atsauci uz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Ievērojot projekta īstenošanas specifiku, apliecinājumā ietver atsauci arī uz likuma “Par interešu konflikta novēršanu valsts amatpersonu darbībā” normām un iepirkumus regulējošiem tiesību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 punktu aiz vārdiem "Pievienotās vērtības nodoklis" ar vārdiem "kas tiešā veidā saistīts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w:t>
            </w:r>
            <w:r w:rsidR="00000000" w:rsidRPr="00000000" w:rsidDel="00000000">
              <w:rPr>
                <w:u w:val="single"/>
                <w:rtl w:val="0"/>
              </w:rPr>
              <w:t xml:space="preserve">kas tiešā veidā saistīts ar projektu,</w:t>
            </w:r>
            <w:r w:rsidR="00000000" w:rsidRPr="00000000" w:rsidDel="00000000">
              <w:rPr>
                <w:rtl w:val="0"/>
              </w:rPr>
              <w:t xml:space="preserve">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ka arī šobrīd ikgadēji ieņēmumi pret izdevumiem nepārsniedz 50%, un tādējādi komercdarbības atblasta kontroles kontekstā varētu secināt, ka atbalsts plānots nesaimnieciskai darbībai. lūdzam informāciju par LU studiju darbības ieņēmumiem un izdevumiem papildināt ar aktuālajiem datiem par 2023.gadu, kā arī ieņēmumu un izdevumu prognozi attiecībā par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5.,7. un 8. kolonnas 5.1.apakšpunkta finansējums ir norādāms atbilstoši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8.kolonnā "izmaiņas, salīdzinot ar vidēja termiņa budžeta ietvaru" 2.,2.1.,3.,3.1.,5. un 5.1.apakšpunktā ir precizējams finansējums atbilstoši 6.punktā "Detalizēts ieņēmumu un izdevumu aprēķins (ja nepieciešams, detalizētu ieņēmumu un izdevumu aprēķinu var pievienot anotācijas (ex-ante) pielikumā)" norādītajam finansējuma apmēram. Papildus norādām, ka šobrīd ir 2024.gads, attiecīgi anotācijā ir precizējams kārtējais gads, kā arī informācija kolonnā “Turpmākie trīs gadi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skar personas datu apstrādes jautājumus, lūdzam izvērtēt iespēju saskaņot noteikumu projektu ar Datu valsts inspekciju atbilstoši Ministru kabineta 2021. gada 7. septembra noteikumu Nr. 606 "Ministru kabineta kārtības rullis" 52.2.6.</w:t>
            </w:r>
            <w:r w:rsidR="00000000" w:rsidRPr="00000000" w:rsidDel="00000000">
              <w:rPr>
                <w:vertAlign w:val="superscript"/>
                <w:rtl w:val="0"/>
              </w:rPr>
              <w:t xml:space="preserve">1 </w:t>
            </w:r>
            <w:r w:rsidR="00000000" w:rsidRPr="00000000" w:rsidDel="00000000">
              <w:rPr>
                <w:rtl w:val="0"/>
              </w:rPr>
              <w:t xml:space="preserve">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