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salīdzinot ar iepriekš saskaņošanā nodoto redakciju, ziņojuma tvērums ir sašaurināts uz kapitāla tirgus attīstību, un ir izslēgtas sadaļas “5. Valsts kapitālsabiedrību loma Latvijas ekonomikā” un “5.1. Valsts kapitālsabiedrību pārvaldības un priekšlikumi pārvaldības modeļa pilnveidei”, aicinām svītrot arī ziņojuma 32. lpp. iekļautās rindkopas par iespējamo nevienlīdzīgo attieksmi pret ārvalstu valsts un pašvaldību kapitālsabiedrībām un par priekšlikumsiem tiesiskā regulējuma (Valsts pārvaldes iekārtas likuma un publisko kapitālsabiedrību darbību un atalgojumu regulējošo normu)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24.11.2025.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24.11.2025.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Atzinumi_25-TA-1521.docx</dc:title>
</cp:coreProperties>
</file>

<file path=docProps/custom.xml><?xml version="1.0" encoding="utf-8"?>
<Properties xmlns="http://schemas.openxmlformats.org/officeDocument/2006/custom-properties" xmlns:vt="http://schemas.openxmlformats.org/officeDocument/2006/docPropsVTypes"/>
</file>