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īpaši aizsargājamām dabas teritorijām"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 likumprojekta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grozījums izslēdz iespēju nodrošināt publisko apspriešanu un saskaņošanas procesu aizsargājamo teritoriju noteikšanā, kas pēc būtības ir būtisks sabiedrības līdzdalības mehānisms. Aizsargājamo teritoriju mērķis tieši nosaka, kādas saimnieciskās un citas darbības konkrētajā teritorijā nākotnē būs atļautas vai aizliegtas. Līdz ar to šo mērķu noteikšanai ir būtiska ietekme uz īpašnieku tiesībām un saimnieciskās darbības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aizsargājamo teritoriju mērķiem ir jābūt noteiktiem tikai ar augstāka līmeņa normatīvajiem aktiem – proti, ar Ministru kabineta noteikumiem vai likumu, nodrošinot pilnvērtīgu publisko apspriešanu un starpinstitūciju saskaņošanas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šo normu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21.07.2025.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21.07.2025.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