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projekts paredz būtiskus grozījumus vairākos Ministru kabineta 28.08.2018. noteikumu Nr. 555 “Veselības aprūpes pakalpojumu organizēšanas un samaksas kārtība” punktos un pielikumos, vienlaikus anotācijā netiek sniegts pietiekams, detalizēts un strukturēts šajos noteikumos paredzēto grozījumu pamatojums, nav atbalstāma šāda Ministru kabineta noteikumu projekta tālāka virzība. Norādām, ka anotācijā sniedzams detalizēts skaidrojums par katra paredzētā grozījumu būtību, lai objektīvi izvērtētu to pamatotību. Līdz ar to precizējama anotācija, sniedzot izvērstu pamatojumu par visiem noteikumu projektā ietvertajiem grozījumiem, tajā skaitā skaidrojot katra grozījuma nepieciešamību, būtību, ietekmi un paredzamo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anotācija un tās pielikumi, tajos iekļaujot tikai Ministru kabineta noteikumu projektā paredzēto grozījumu ietekmi. Norādām, ka nav pietiekami atsaukties uz informatīvā ziņojuma “Par slimnīcu tīklu” mērķiem, skaidrojot kam tiek novirzīts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noteikumu projekta 2. punktam, noteikumi stāsies spēkā 2027. gada 1. janvārī, kā arī anotācijas 3. sadaļā un tās pielikumos nav sniegta informācija par nepieciešamo finansējumu 2026. gadam, nav saprotams 3. sadaļas 6. punktā norādītais, ka Veselības ministrija, lai nodrošinātu noteikumu projektā paredzēto pasākumu īstenošanu, iesniegs priekšlikumus 2026.gadam apropriācijas pārdalei un izmaiņām valsts pamatbudžeta bāzes izdevumos 2027.-2029.gadam. Līdz ar to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 pielikumu, jo nav saprotams, kā tajā norādītās pozīcijas “Tarifu pārrēķins” un “Izmaiņas, kas saistītas ar profilu un pacientu pārvirzīšanu uz citu iestādi” korelē ar Ministru kabineta noteikumu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sadaļas 6. punktā minētais finansējums 2026. gadam apakšprogrammā 33.21.00 “Stacionāro veselības aprūpes pakalpojumu nodrošināšana” neatbilst likumam “Par valsts budžetu 2026. gadam un budžeta ietvaru 2026., 2027. un 2028.gadam” un Finanšu ministrijas rīkojumiem uz 2026.gada 8.maiju, kā arī minētais finansējums 2028. gadam apakšprogrammā 33.16.00 “Pārējo ambulatoro veselības aprūpes pakalpojumu nodrošināšana” neatbilst likumam “Par valsts budžetu 2026. gadam un budžeta ietvaru 2026., 2027. un 2028.gadam”, precizējama anotācijas 3. 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veidojas anotācijas 3. sadaļas 6. punktā norādītais kopējais nepieciešamais finansējums noteikumu projekta īstenošanai: 2027.gadā 111 673 180 </w:t>
            </w:r>
            <w:r w:rsidR="00000000" w:rsidRPr="00000000" w:rsidDel="00000000">
              <w:rPr>
                <w:i w:val="1"/>
                <w:rtl w:val="0"/>
              </w:rPr>
              <w:t xml:space="preserve">euro</w:t>
            </w:r>
            <w:r w:rsidR="00000000" w:rsidRPr="00000000" w:rsidDel="00000000">
              <w:rPr>
                <w:rtl w:val="0"/>
              </w:rPr>
              <w:t xml:space="preserve">; 2028.gadā 111 673 180 </w:t>
            </w:r>
            <w:r w:rsidR="00000000" w:rsidRPr="00000000" w:rsidDel="00000000">
              <w:rPr>
                <w:i w:val="1"/>
                <w:rtl w:val="0"/>
              </w:rPr>
              <w:t xml:space="preserve">euro</w:t>
            </w:r>
            <w:r w:rsidR="00000000" w:rsidRPr="00000000" w:rsidDel="00000000">
              <w:rPr>
                <w:rtl w:val="0"/>
              </w:rPr>
              <w:t xml:space="preserve">; 2029.gadā un turpmāk ik gadu 102 134 969 </w:t>
            </w:r>
            <w:r w:rsidR="00000000" w:rsidRPr="00000000" w:rsidDel="00000000">
              <w:rPr>
                <w:i w:val="1"/>
                <w:rtl w:val="0"/>
              </w:rPr>
              <w:t xml:space="preserve">euro</w:t>
            </w:r>
            <w:r w:rsidR="00000000" w:rsidRPr="00000000" w:rsidDel="00000000">
              <w:rPr>
                <w:rtl w:val="0"/>
              </w:rPr>
              <w:t xml:space="preserve">. Līdz ar to precizējama anotācijas 3. sadaļa un tās 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3. sadaļas 6. punktam Ministru kabineta noteikumu projektā iekļauto pasākumu īstenošanai ir nepieciešams finansējums, aizpildāms anotācijas 3. sadaļas 2., 3., 4.punkts un 2.1., 3.1. apakšpunkts 5., 7. un 8. 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Ministru kabineta 2026. gada 14. aprīļa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ir pozitīva 2027. gadā 80,3 milj. euro, parējos gados negatīva 2028. gadā -153,3 milj. euro, 2029. gadā -191,1 milj. euro un 2030. gadā -883,5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šī brīža prognozēm, iespējas piešķirt papildu finanšu resursus turpmākajos gados būs ierobežotas, kas ministrijām un citām centrālajām iestādēm jāņem vērā tiesību aktu projektu izstrādē, papildu nepieciešamo finansējumu rodot esošā finansējuma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papildināt anotācijas 3. sadaļas “Cita informācija”, norādot, ka papildu finansējumu, lai mazinātu DGR bāzes tarifam piemērotā koeficienta ietekmi uz stacionāro veselības aprūpes pakalpojumu sniedzēju, Veselības ministrija nodrošinās esošo budžeta līdzekļu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Pogule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01.06.2026.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01.06.2026.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Atzinumi_26-TA-1067.docx</dc:title>
</cp:coreProperties>
</file>

<file path=docProps/custom.xml><?xml version="1.0" encoding="utf-8"?>
<Properties xmlns="http://schemas.openxmlformats.org/officeDocument/2006/custom-properties" xmlns:vt="http://schemas.openxmlformats.org/officeDocument/2006/docPropsVTypes"/>
</file>