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"Mediju satura integrācija Latvijas digitālā kultūras mantojuma platformā"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precizēts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Latvijas Nacionālo bibliotēku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4. punktu, un, ja nepieciešams, citas rīkojuma projekta normas atbilstoši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(turpmāk - noteikumi Nr. 435) 13.1. apakšpunktam, kas paredz, ka ir Ministru kabineta rīkojuma projektā par projekta īstenošanu iekļauj ziņas par finansējuma saņēmēju, kas īsteno projekta darbības.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Latvijas Nacionālās bibliotēkas kā projekta iesniedzēja statuss izriet jau no rīkojuma 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02.01.2023.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02.01.2023.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Atzinumi_22-TA-3282.docx</dc:title>
</cp:coreProperties>
</file>

<file path=docProps/custom.xml><?xml version="1.0" encoding="utf-8"?>
<Properties xmlns="http://schemas.openxmlformats.org/officeDocument/2006/custom-properties" xmlns:vt="http://schemas.openxmlformats.org/officeDocument/2006/docPropsVTypes"/>
</file>