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VARAMzino_digitalavarteja_180924.docx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informatīvā ziņojuma 5.nodaļas ceturtās rindkopas pēdējo teikumu.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5.2.uzdevuma termiņš ir pārcelts uz 2024.gada 3.</w:t>
            </w:r>
            <w:r w:rsidR="00000000" w:rsidRPr="00000000" w:rsidDel="00000000">
              <w:rPr>
                <w:u w:val="single"/>
                <w:rtl w:val="0"/>
              </w:rPr>
              <w:t xml:space="preserve">ceturksni</w:t>
            </w:r>
            <w:r w:rsidR="00000000" w:rsidRPr="00000000" w:rsidDel="00000000">
              <w:rPr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Atbildīgajām iestādēm, kas ir valsts pārvaldes pakalpojumu sniedzēji un nodrošina pakalpojumus un procedūras saskaņā ar Eiropas Parlamenta un Padomes 2018. gada 2. oktobra Regulas (ES) 2018/1724, ar ko izveido vienotu digitālo vārteju, lai sniegtu piekļuvi informācijai, procedūrām un palīdzības un problēmu risināšanas pakalpojumiem, un ar ko groza Regulu (ES) Nr. 1024/2012 prasībām, nodrošināt informatīvā ziņojuma rīcības plāna īstenošanu noteiktajos termiņos.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Ministru kabineta sēdes protokollēmuma nosaukumu atbilstoši sēdē izskatāmajam ziņojumam.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19.54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25.09.2024. 19.54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