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paredzēts, ka privātpersonas varēs noskaidrot ziņas par esību kādā no reģistriem (visticamāk šeit ir domāts arī Sodu reģistrs). Vēršam uzmanību, ka DAGR ir publicēti dati par personāms, par kurām dati ir kriminālajā Sodu reģistra masīvā. DAGR nav Sodu reģistra datu par admin.pārkāpumus izdarījušām personām.  Un IeM IC arī ziņu saņemšana, ka personai nav datu Sodu reģistrā (līdz ar to arī nav sodīta)–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Pilsonības un migrācijas lietu pārvaldes iesaiste projekta pasē ir atspoguļota tikai daļēji – tā ir korekti iekļauta projekta īstenošanas partneru sarakstā, taču nav konsekventi atspoguļota citās sadaļās, jo īpaši centralizēti pārvaldāmo datu kopu uzskaitījumā un sadarbības partneru aprakstā, līdz ar to, lai nodrošinātu dokumenta iekšējo saskaņotību, nepieciešams precizēt projekta pases 5.3. un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Vizule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