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8.punktā ietverto priekšlikumu un atkārtoti lūdzam papildināt izziņu ar pamatojumu, kāpēc investīcijas var tikt veiktas arī t.s. pieejamības skolās, un ar pamatojumu par pieejamības skolu atbilstību Padomes īstenošanas lēmumā, ar ko groza 2021. gada 13. jūlija Īstenošanas lēmumu (ES) par Latvijas atveseļošanas un noturības plāna novērtējuma apstiprināšanu (turpmāk – CID) noteiktajam, ka 3.1.1.5.i investīcijas "Izglītības iestāžu infrastruktūras pilnveide un aprīkošana" ieguldījumu ietvaros tiek apvienotas investīcijas ar skolu tīkla optimizāciju. Vēršam uzmanību, ka sniedzot informāciju Eiropas Komisijai par CID rādītāja izpildi būs jāpamato investīciju sasaiste ar skolu tīkla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13.01.2025.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13.01.2025.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