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esošā ciršanas apjoma valsts mežos ietekmi uz 2030. gada zemes izmantošanas, zemes izmantošanas maiņas un mežsaimniecības sektora klimata mērķiem, kā arī iespējām palielināt šo ieguldījumu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Latvijā ir jāveicina tādu apaļo kokmateriālu pārstrāde, kuri līdz šim netiek pārstrādāti un ir ļoti svarīgi mērķtiecīgi audzēt un iegūt tādu apaļkoksnes sortimentu, no kura var ražot ilglietojamus koksnes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Zemkopības ministriju papildināt informatīvo ziņojumu ar izvērstu un datos balstītu informāciju par to, kā šo minēto mērķu sasniegšanu būtu iespējams veicināt ar akciju sabiedrības "Latvijas valsts meži" esošo nosacījumu maiņu par to, kā tiek vērtēta uzņēmumu atbilstība dalībai īstermiņa un ilgtermiņa izsolēs.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piedāvājot analīzi par scenārijiem, kuros esošo izsoļu nosacījumu ietekme tiek salīdzināta ar iespējamo ietekmi, ja prioritāte izsolēs tiktu piešķirta uzņēmumiem, kuri nodrošina augstas pievienotās vērtības produktu ražošanu Latvijā no Latvijas apaļkoksnes.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labākai uztveramībai aicinām papildināt 1. un 2. attēlā iekļauto informāciju ar norādītiem datiem katrā stabiņā.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11.06.2025. 21.49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11.06.2025. 21.49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Atzinumi_25-TA-1240.docx</dc:title>
</cp:coreProperties>
</file>

<file path=docProps/custom.xml><?xml version="1.0" encoding="utf-8"?>
<Properties xmlns="http://schemas.openxmlformats.org/officeDocument/2006/custom-properties" xmlns:vt="http://schemas.openxmlformats.org/officeDocument/2006/docPropsVTypes"/>
</file>