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5. septembra noteikumos Nr. 537 "Noteikumi par portfeļgarantijām sīko (mikro), mazo un vidējo saimnieciskās darbības veicēju – juridisko personu – kreditēšanas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“Komersantu portfeļgarantijas” rādītāju novērtējums)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uzturam izziņas 3.punktā izteikto Finanšu ministrijas iebildumu un lūdzam papildināt anotācijas 1.3.sadaļas 4.punktu “Cita informācija” ar pasākuma plānoto ietekmi uz attīstības plānošanas dokumentos noteikto mērķu sasniegšanu, piemēram, norādot atsauci uz Latvijas nacionālais attīstības plāns 2021.–2027. gadam un citiem nacionāla līmeņa plānošanas dokumentiem, kur ir noteikta portfeļgarantiju atbalsta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sniegto informāciju par ietekmi uz IKP, norādot šī pasākuma ieguldījumu privāto investīciju piesaistē, proti, par cik procentiem palielināsies privāto investīciju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garantiju atbalsta piešķiršanas nosacījumus, finansēšanas kārtību un valsts atbalsta nosacījumus sīkajiem (mikro), mazajiem un vidējiem, kā arī mazajās un vidējās kapitalizācijas saimnieciskās darbības veicējiem – juridiskām personām (turpmāk – saimnieciskās darbības veicēji) – ierobežotas portfeļgarantijas veidā, Covid-19 izraisītās krīzes portfeļgarantijas nosacījumus un Eiropas Savienības kohēzijas politikas programmas 2021.-2027.gadam 1.2.3. specifiskā atbalsta mērķa "Veicināt ilgtspējīgu izaugsmi, konkurētspēju un darba vietu radīšanu MVU, tostarp ar produktīvām investīcijām" 1.2.3.4. pasākuma “Garantijas, portfeļgarantijas pilna cikla uzņēmējdarbībai (turpmāk – 1.2.3.4. pasākums)” portfeļgarantiju nosacījumus tiešo finanšu instrumentu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2017. gada 5. septembra noteikumi Nr. 537 "Noteikumi par portfeļgarantijām sīko (mikro), mazo un vidējo saimnieciskās darbības veicēju – juridisko personu – kreditēšanas veicināšanai" tiek īstenoti saskaņā ar ES fondu uzraudzība komitejā 2015.gada 30.aprīlī saskaņoto ex-ante novērtējumu, tad atbalsts mazām vidējās kapitalizācijas sabiedrībām un vidējām kapitalizācijas sabiedrībām šobrīd nav paredzēts minētajā ex-ante novērtējumā. Attiecīgi lūdzam skaidri noteikt, ka atbalsts mazām vidējās kapitalizācijas sabiedrībām un vidējām kapitalizācijas sabiedrībām ir attiecināms tikai uz 1.2.3.4.pasākumu.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arī šo noteikumu 10.1.apakšpunktu, vienlaikus tajā nosakot, ka atbalsts pieejams arī mazām vidējās kapitalizācijas sabiedrībām, jo šobrīd minētajā apakšpunktā ir noteikts atbalsts tikai vidējās kapitalizācijas sabiedrībām.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Garantiju izsniegšanai un sabiedrības "Altum" pārvaldības izmaksu segšanai izmanto Eiropas Savienības struktūrfondu un Kohēzijas fonda 2007.–2013. gada plānošanas perioda atmaksāto finansējumu 14 300 000 </w:t>
            </w:r>
            <w:r w:rsidR="00000000" w:rsidRPr="00000000" w:rsidDel="00000000">
              <w:rPr>
                <w:i w:val="1"/>
                <w:rtl w:val="0"/>
              </w:rPr>
              <w:t xml:space="preserve">euro</w:t>
            </w:r>
            <w:r w:rsidR="00000000" w:rsidRPr="00000000" w:rsidDel="00000000">
              <w:rPr>
                <w:rtl w:val="0"/>
              </w:rPr>
              <w:t xml:space="preserve"> apmērā, kā arī šī finansējuma atmaksas, kas noteikts atbilstoši Attīstības finanšu institūcijas likumam izstrādātajā programmas novērtējumā un ko veido: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uzturam izziņas 9.punktā ietverto Finanšu ministrijas iebildumu un lūdzam veikt precizējumu attiecībā uz vārdiem "kā arī šī finansējuma atmaksas", nosakot konkrētu atbalsta summu, ko var izmantot šī atbalsta pasākuma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ir norādīts, ka provizoriskais ES fondu 21-27 finansējuma izlietojums 2026.gadā ir 1 644 913 euro, attiecīgi lūdzam precizēt sadaļas 8.ailē atspoguļotās izmaiņas 2026.gadā, salīdzinot ar vidēja termiņa budžeta ietvaru, jo šobrīd tās ir norādītās 3 289 826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programmas rādītāju novērtējuma projekta 3.2.1. un 3.2.2. punktu ar atsauci uz pilnu ES kapitāla pietiekamības direktīvas (un regulas)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programmas rādītāju novērtējuma projekta 2. punktā iekļautās informācijas attiecībā uz programmas ietekmi sasaisti ar noteikumu projektā “Eiropas Savienības kohēzijas politikas programmas 2021. – 2027. gadam finanšu instrumentu kopīgie īstenošanas noteikumi” 1.2.3.4. pasākumam “Garantijas, portfeļgarantijas pilna cikla uzņēmējdarbībai” noteiktajiem sasniedzamajiem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pēc nepieciešamības precizēt programmas rādītāju novērtējuma projekta 2. punktā norādīto garantiju apjomu, proti, gan skaitliski (78 000 tūkst. EUR?), gan norādot, vai summa attiecas uz kopējo izsniegto garantiju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programmas rādītāju novērtējuma projekta 2. punktā norādītās programmas ietekmes sasaisti ar 1. punktu, lai nodrošinātu informācijas izsekojamību.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un rast sasaisti programmas rādītāju novērtējuma projekta 1. punktā norādītajam programmas finansējumam un tā avotiem, tai skaita atmaksām, ar MK noteikumos Nr. 537 un noteikumu projektā “Eiropas Savienības kohēzijas politikas programmas 2021. – 2027. gadam finanšu instrumentu kopīgie īstenošanas noteikumi” 1.2.3.4. pasākumam “Garantijas, portfeļgarantijas pilna cikla uzņēmējdarbībai” paredzēto finansējumu, lai nodrošinātu informācijas izsekojamību.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Sabiedrības "Altum" pārvaldības izmaksas nosaka saskaņā ar sabiedrības "Altum" vadības izmaksu aprēķināšanas metodiku un sedz ar vadības maksu, ko nosaka, ievērojot Komisijas 2014. gada 3. marta Deleģētās regulas (ES) Nr. </w:t>
            </w:r>
            <w:r w:rsidR="00000000" w:rsidRPr="00000000" w:rsidDel="00000000">
              <w:rPr>
                <w:rtl w:val="0"/>
              </w:rPr>
              <w:t xml:space="preserve">480/2014</w:t>
            </w:r>
            <w:r w:rsidR="00000000" w:rsidRPr="00000000" w:rsidDel="00000000">
              <w:rPr>
                <w:rtl w:val="0"/>
              </w:rPr>
              <w:t xml:space="preserve">, ar kuru papildina Eiropas Parlamenta un Padomes Regulu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(turpmāk – Komisijas regula Nr. 480/2014), 12. un 13. panta 3. punktā noteikto kopējās robežvērtības apmēru. Šajā punktā minētās pārvaldības izmaksas var tikt attiecinātas pirms šo noteikumu stāšanās spēkā, bet ne agrāk kā no 2017. gada 1. 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10.punktā sniegto skaidrojumu, lūdzam noteikt, ka šo noteikumu 6.punkts nav attiecināms uz 1.2.3.4.pasākumu.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saimnieciskās darbības veicējiem, kuri darbojas Komisijas regulas Nr. 1407/2013 1. panta 1. punkta "a", "b" un "c" apakšpunktā minētajās nozarēs;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regulas Nr.1407/2013 1.panta 1.punkta a), b) un c) apakšpunktos ir uzskaitītas nozares, savukārt d) un e) apakšpunktos ir uzskaitītas darbības, kurām atbalsts netiek piešķirts attiecīgās regulas ietvaros, lūdzam atbilstoši precizēt MK noteikumu projekta 13.3. apakšpunktu, piemēram, šādā redakcijā: “saimnieciskās darbības veicējiem, kuri darbojas Komisijas regulas Nr. 1407/2013 1. panta 1. punkta "a", "b", "c" apakšpunktā minētajās nozarēs, vai arī veic darbības, kas noteiktas Komisijas regulas Nr. 1407/2013 1. panta 1. punkta "d" un "e" apakšpunktos.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5. esošu vai jaunu saistību dzēšanai, t.sk. parāda procentiem saskaņā ar Regulas Nr. 2021/1060 64. panta 1. punkta a)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kāpēc nebūtu jāsniedz atbalsts jaunu saistību dzēšanai.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23-TA-337</w:t>
    </w:r>
    <w:r>
      <w:br/>
    </w:r>
    <w:r w:rsidR="00000000" w:rsidRPr="00000000" w:rsidDel="00000000">
      <w:rPr>
        <w:rtl w:val="0"/>
      </w:rPr>
      <w:t xml:space="preserve">Izdrukāts 04.07.2023. 15.12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23-TA-337</w:t>
    </w:r>
    <w:r>
      <w:br/>
    </w:r>
    <w:r w:rsidR="00000000" w:rsidRPr="00000000" w:rsidDel="00000000">
      <w:rPr>
        <w:rtl w:val="0"/>
      </w:rPr>
      <w:t xml:space="preserve">Izdrukāts 04.07.2023. 15.12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Atzinumi_23-TA-337.docx</dc:title>
</cp:coreProperties>
</file>

<file path=docProps/custom.xml><?xml version="1.0" encoding="utf-8"?>
<Properties xmlns="http://schemas.openxmlformats.org/officeDocument/2006/custom-properties" xmlns:vt="http://schemas.openxmlformats.org/officeDocument/2006/docPropsVTypes"/>
</file>