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Privātā un Riska kapitāla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04.06.2026.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04.06.2026.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