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veiktas izmaiņas informācijas sniegšanas veidam un apjomam, lūdzu veikt tiesību aktā iekļauto informācijas sniegšanas pienākumu izmaiņu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administratīvo izmaksu vērtējums un monetārs novērtējums ir veicams saskaņā ar Ministru kabineta 2021. gada 7. septembra noteikumu Nr. 617 “Tiesību akta projekta sākotnējās ietekmes izvērtēšanas kārtība” (turpmāk - noteikumi Nr. 617) 15. un 16.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noteikumu Nr. 617 18.2 apakšpunktā ir noteikts, ka  administratīvo izmaksu un atbilstības izmaksu aprēķina rezultātu iekļauj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sniedzamā informācija ir sagatavojama un sniedzama (sagatavošanai nepieciešamie resursi, nosūtīšanas veids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20.05.2025.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20.05.2025.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Atzinumi_24-TA-1531.docx</dc:title>
</cp:coreProperties>
</file>

<file path=docProps/custom.xml><?xml version="1.0" encoding="utf-8"?>
<Properties xmlns="http://schemas.openxmlformats.org/officeDocument/2006/custom-properties" xmlns:vt="http://schemas.openxmlformats.org/officeDocument/2006/docPropsVTypes"/>
</file>