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pamatojumu par Nacionālā veselības dienesta un Veselības inspekcijas iesaisti projekta īstenošanā sadarbības partneru statusā, skaidri nodalot šo institūciju normatīvajos aktos noteiktās pamatfunkcijas no projekta ietvaros paredzētajām papildus veicamajām darbībām. Vienlaikus lūdzam sniegt detalizētu pamatojumu, kādēļ projekta ietvaros plānotās darbības nav uzskatāmas par šo institūciju ikdienas funkciju finansēšanu no Eiropas Savienības fondu līdzekļiem, kā arī papildināt anotāciju ar informāciju par plānoto darba apjomu, izmaksu aprēķina metodiku, darba laika un pienākumu nodalīšanu, dubultā finansējuma riska novēršanas mehānismiem un kontroles pasākumiem, lai pārliecinātos par izmaksu attiecināmību un atbilstību pareizas finanšu vadības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17.04.2026.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17.04.2026.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Atzinumi_26-TA-652.docx</dc:title>
</cp:coreProperties>
</file>

<file path=docProps/custom.xml><?xml version="1.0" encoding="utf-8"?>
<Properties xmlns="http://schemas.openxmlformats.org/officeDocument/2006/custom-properties" xmlns:vt="http://schemas.openxmlformats.org/officeDocument/2006/docPropsVTypes"/>
</file>