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izpildi uzrauga un izņēmumus no šo noteikumu prasībām Vides aizsardzības un reģionālās attīstības ministrija saskaņo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noteic, ka Vides aizsardzības un reģionālās attīstības ministrija (turpmāk - VARAM) saskaņo izņēmumus no šo noteikumu prasībām. Noteikumu projekta anotācijas 1.3.sadaļā ir norādīts, ka šīm vispārējām tehniskajām prasībām ir pieļaujami izņēmumi, un tie ir pieļaujami tikai gadījumā, ja šāda izņēmuma nepieciešamībai ir sniegts pamatojums un tas ir saskaņots ar VARAM. Arī finansējuma neesamība vai nepietiekamība var būt pamatojums izņēmuma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noteikumi Nr.617 "Tiesību akta projekta sākotnējās ietekmes izvērtēšanas kārtība" noteic, ka anotācijas mērķis ir apzināt ietekmi un sekas, ko var radīt projekts, un, pamatojoties uz iegūtajiem secinājumiem, izvēlēties piemērotāko regulējuma apjomu, saturu un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regulējumu, kas noteic, ka noteikumos iekļautajām vispārējām tehniskajām prasībām ir pieļaujami izņēmumi un ka tie ir pieļaujami, ja informācijas sistēmas pārzinis var pamatot izņēmuma nepieciešamību, iesniedzot informāciju attīstības aktivitāšu saskaņošanas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