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skaidrojumu anotācijā, ka pasākuma ietvaros netiek piešķirts komercdarbības atbalsts, uzturam iebildumu daļā ar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normu, kas nosaka, ka programmas ietvaros netiek plānots atbalsts tādām projekta īstenotāja darbībām, kā arī papildināt ar normu, ja projekta īstenotājs vienlaikus veic gan programmā atbalstāmās darbības, gan saimnieciskās darbības, kam būtu jāpiemēro komercdarbības atbalsta nosacījumi saskaņā ar Komercdarbības atbalsta kontroles likumu, projekta īstenotājs nodrošina šo darbību nodalīšanu.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minimālā attiecināmo izmaksu kopsumma nav ierobežota, projekta maksimālā attiecināmo izmaksu kopsumma ir 45 000</w:t>
            </w:r>
            <w:r w:rsidR="00000000" w:rsidRPr="00000000" w:rsidDel="00000000">
              <w:rPr>
                <w:i w:val="1"/>
                <w:rtl w:val="0"/>
              </w:rPr>
              <w:t xml:space="preserve"> euro</w:t>
            </w:r>
            <w:r w:rsidR="00000000" w:rsidRPr="00000000" w:rsidDel="00000000">
              <w:rPr>
                <w:rtl w:val="0"/>
              </w:rPr>
              <w:t xml:space="preserve">. Vienā projektā nodrošina vismaz 150 šo noteikumu 3. punktā minētās mērķa grupas personu dalību skaitu atbalsta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skaidrojumu izziņā un veiktajiem papildinājumiem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kopējā summa nepārsniegs 45 000 EUR un saskaņā ar regulas Nr. 2021/1060 53. panta 2. punktu šādos gadījumos, kuru kopējās izmaksas nepārsniedz EUR 200 000, visas izmaksas tiek segtas ar vienu vienību, fiksētās summas maksājumu vai vienoto likmju veidā. Taču šajā gadījumā tiek piemērota 40% vienotā likme, lai segtu parējās projektu izmaksas, tad attiecīgi regula paredz, ka, ja izmanto vienoto likmi, izmaksu pozīcijas, kurām piemēro vienoto likmi, var atlīdzināt saskaņā ar Vispārējās regulas Nr. 2021/1060 53.panta 1. punkta a) apakšpunktu, kas nozīmē, ka bāzes izmaksas, no kurām rēķina vienoto likmi var būt kā faktiskās izmaksas. Līdz ar to lūgums papildināt anotāciju ar informāciju par to, ka šajā gadījumā tiek izpildīts regulas nosacījums, iekļaujot skaidrojumā šajā priekšlikumā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normu, kas paredz, ka finansējuma saņēmējs uzņemas segt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sniegts skaidrojums, ka šobrīd nav indikācijas projektos paredzēto izmaksu būtiskam sadārdzinājumam, un tāpēc šāda norma nav iekļauta noteikumu projektā. Vēršam uzmanību, ka sadārdzinājuma gadījumā izmaksu segšana kā finansējuma saņēmēja pienākums ir horizontāla prasība neatkarīgi no izmaksu apjoma un tā, vai to var vai nevar indikatīvi paredzēt.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norādīts : "Kā vienu no demarkācijas un dubultfinansējuma riska novēršanas uzraudzības instrumentiem finansējuma saņēmējs var izmantot FM izstrādāto dubultfinansējuma riska kontroles matricu (pieejama šeit: https://matrica.fm.gov.lv/)", taču norādītā tīmekļa vietne nav sasniedzama. Lūdzam precizēt anotācijā un izziņas 24. un 33.punktā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3.sadaļas 5.1.apakšpunkta 5., 7. un 8.aili.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8.1.13.sadaļu atbilstoši noteikumu projekta 25.4. un 25.5.apakšpunktā veiktajiem precizējumiem, kā arī papildināt anotāciju,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05.03.2024.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05.03.2024.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