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kancelejas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Pārresoru koordinācijas centra funkciju un uzdevumu pārņemšanu, kā arī esošo Valsts kancelejas funkciju un uzdevumu aktualizēšanu, lūdzam anotācijas 3. sadaļas “Tiesību akta projekta ietekme uz valsts budžetu un pašvaldību budžetiem” sadaļā “Cita informācija” norādīt, ka Valsts kanceleja noteikumu projektā paredzēto funkciju un uzdevumu īstenošanu nodrošinās esošo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10.03.2023.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10.03.2023.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Atzinumi_23-TA-251.docx</dc:title>
</cp:coreProperties>
</file>

<file path=docProps/custom.xml><?xml version="1.0" encoding="utf-8"?>
<Properties xmlns="http://schemas.openxmlformats.org/officeDocument/2006/custom-properties" xmlns:vt="http://schemas.openxmlformats.org/officeDocument/2006/docPropsVTypes"/>
</file>