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w:t>
            </w:r>
            <w:r w:rsidR="00000000" w:rsidRPr="00000000" w:rsidDel="00000000">
              <w:rPr>
                <w:i w:val="1"/>
                <w:rtl w:val="0"/>
              </w:rPr>
              <w:t xml:space="preserve">de minimis</w:t>
            </w:r>
            <w:r w:rsidR="00000000" w:rsidRPr="00000000" w:rsidDel="00000000">
              <w:rPr>
                <w:rtl w:val="0"/>
              </w:rPr>
              <w:t xml:space="preserve"> atbalstu saskaņā ar Komisijas regulu Nr.2023/2831.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sniegusi skaidrojumu izziņas 7.punktā norādot, ka prioritāri atbalsts tiks sniegts kā de minimis atbalsts, atbilstoši precizējot noteikumu 22.punktu. Ņemot vērā to, ka sākotnēji noteikumu tekstā ir izvirzīti Komisijas regulas Nr.651/2014 nosacījumi, nevis de minmis nosacījumi, lūdzam normatīvā akta skaidrības nolūkos noteikumu 46.punktā paredzēto nosacījumu precizēt, ka, ja attiecībā uz plānoto atbalstu nav iespējams ievērot de minimis nosacījumus, tostarp limitu, komercdarbības atbalstu paredzēts sniegt saskaņā ar Komisijas regulas Nr.651/2014 14.pantu, vienlaikus 46.punkta nosacījumu strukturēt noteikumu tekstā uzreiz pēc noteikumu 22.punkta. Šādi tiktu nodrošināts tas, ka normatīvā akta lietotājam jau sākotnēji ir skaidrs, kāds komercdarbības atbalsta regulējums attieksies uz to. Vienlaikus, veicot šādus precizējumus, lūdzam pārskatīt un precizēt atsauces uz šiem punktiem citur noteikumu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10.3. finanšu un apdrošināšanas darbībai (NACE 2. red. K sadaļa "Finanšu un apdrošināšanas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62.</w:t>
            </w:r>
            <w:r w:rsidR="00000000" w:rsidRPr="00000000" w:rsidDel="00000000">
              <w:rPr>
                <w:vertAlign w:val="superscript"/>
                <w:rtl w:val="0"/>
              </w:rPr>
              <w:t xml:space="preserve">1</w:t>
            </w:r>
            <w:r w:rsidR="00000000" w:rsidRPr="00000000" w:rsidDel="00000000">
              <w:rPr>
                <w:rtl w:val="0"/>
              </w:rPr>
              <w:t xml:space="preserve">10.3- 62.</w:t>
            </w:r>
            <w:r w:rsidR="00000000" w:rsidRPr="00000000" w:rsidDel="00000000">
              <w:rPr>
                <w:vertAlign w:val="superscript"/>
                <w:rtl w:val="0"/>
              </w:rPr>
              <w:t xml:space="preserve">1</w:t>
            </w:r>
            <w:r w:rsidR="00000000" w:rsidRPr="00000000" w:rsidDel="00000000">
              <w:rPr>
                <w:rtl w:val="0"/>
              </w:rPr>
              <w:t xml:space="preserve">12.apakšpunktu svītrošanu/pārcelšanu uz 62.</w:t>
            </w:r>
            <w:r w:rsidR="00000000" w:rsidRPr="00000000" w:rsidDel="00000000">
              <w:rPr>
                <w:vertAlign w:val="superscript"/>
                <w:rtl w:val="0"/>
              </w:rPr>
              <w:t xml:space="preserve">1</w:t>
            </w:r>
            <w:r w:rsidR="00000000" w:rsidRPr="00000000" w:rsidDel="00000000">
              <w:rPr>
                <w:rtl w:val="0"/>
              </w:rPr>
              <w:t xml:space="preserve">12- 62.</w:t>
            </w:r>
            <w:r w:rsidR="00000000" w:rsidRPr="00000000" w:rsidDel="00000000">
              <w:rPr>
                <w:vertAlign w:val="superscript"/>
                <w:rtl w:val="0"/>
              </w:rPr>
              <w:t xml:space="preserve">1</w:t>
            </w:r>
            <w:r w:rsidR="00000000" w:rsidRPr="00000000" w:rsidDel="00000000">
              <w:rPr>
                <w:rtl w:val="0"/>
              </w:rPr>
              <w:t xml:space="preserve">18.apakšpunktiem.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 iekārtu un to programmatūru iegādei un nomai, kas saistīta ar atkritumu savākšanu, uzglabāšanu, apstrādi, pārstrādi un apglabāšanu;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62.</w:t>
            </w:r>
            <w:r w:rsidR="00000000" w:rsidRPr="00000000" w:rsidDel="00000000">
              <w:rPr>
                <w:vertAlign w:val="superscript"/>
                <w:rtl w:val="0"/>
              </w:rPr>
              <w:t xml:space="preserve">1</w:t>
            </w:r>
            <w:r w:rsidR="00000000" w:rsidRPr="00000000" w:rsidDel="00000000">
              <w:rPr>
                <w:rtl w:val="0"/>
              </w:rPr>
              <w:t xml:space="preserve">11.apakšpunktu, jo tas pilnībā pārklājas ar 62.</w:t>
            </w:r>
            <w:r w:rsidR="00000000" w:rsidRPr="00000000" w:rsidDel="00000000">
              <w:rPr>
                <w:vertAlign w:val="superscript"/>
                <w:rtl w:val="0"/>
              </w:rPr>
              <w:t xml:space="preserve">1</w:t>
            </w:r>
            <w:r w:rsidR="00000000" w:rsidRPr="00000000" w:rsidDel="00000000">
              <w:rPr>
                <w:rtl w:val="0"/>
              </w:rPr>
              <w:t xml:space="preserve">16.apakšpunktu.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darbībām, kas saistītas ar fosilo kurināmo, tostarp tā pārkārtotu izmantošanu, tai skaitā elektroenerģijas vai siltuma ražošanas projektiem, kā arī saistīto pārvades un sadales infrastruktūru projektiem, izmantojot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62.</w:t>
            </w:r>
            <w:r w:rsidR="00000000" w:rsidRPr="00000000" w:rsidDel="00000000">
              <w:rPr>
                <w:vertAlign w:val="superscript"/>
                <w:rtl w:val="0"/>
              </w:rPr>
              <w:t xml:space="preserve">1</w:t>
            </w:r>
            <w:r w:rsidR="00000000" w:rsidRPr="00000000" w:rsidDel="00000000">
              <w:rPr>
                <w:rtl w:val="0"/>
              </w:rPr>
              <w:t xml:space="preserve">12.apakšpunktu, jo tas pilnībā pārklājas ar 62.</w:t>
            </w:r>
            <w:r w:rsidR="00000000" w:rsidRPr="00000000" w:rsidDel="00000000">
              <w:rPr>
                <w:vertAlign w:val="superscript"/>
                <w:rtl w:val="0"/>
              </w:rPr>
              <w:t xml:space="preserve">1</w:t>
            </w:r>
            <w:r w:rsidR="00000000" w:rsidRPr="00000000" w:rsidDel="00000000">
              <w:rPr>
                <w:rtl w:val="0"/>
              </w:rPr>
              <w:t xml:space="preserve">17.apakšpunktu.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22.05.2024.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22.05.2024.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