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B16" w:rsidRDefault="00AF6B16" w:rsidP="00833361">
      <w:r w:rsidRPr="00AF6B16">
        <w:t>2021.  gada .07.05</w:t>
      </w:r>
      <w:bookmarkStart w:id="0" w:name="_GoBack"/>
      <w:bookmarkEnd w:id="0"/>
    </w:p>
    <w:p w:rsidR="00833361" w:rsidRDefault="00833361" w:rsidP="00833361">
      <w:r>
        <w:t xml:space="preserve">Beāte </w:t>
      </w:r>
      <w:proofErr w:type="spellStart"/>
      <w:r>
        <w:t>Gusārova</w:t>
      </w:r>
      <w:proofErr w:type="spellEnd"/>
      <w:r>
        <w:t xml:space="preserve"> </w:t>
      </w:r>
      <w:hyperlink r:id="rId4" w:history="1">
        <w:r>
          <w:rPr>
            <w:rStyle w:val="Hyperlink"/>
          </w:rPr>
          <w:t>Beate.Gusarova@tm.gov.lv</w:t>
        </w:r>
      </w:hyperlink>
    </w:p>
    <w:p w:rsidR="00833361" w:rsidRDefault="00833361" w:rsidP="00833361">
      <w:r>
        <w:t xml:space="preserve">Aivis Hammers </w:t>
      </w:r>
      <w:hyperlink r:id="rId5" w:history="1">
        <w:r>
          <w:rPr>
            <w:rStyle w:val="Hyperlink"/>
          </w:rPr>
          <w:t>aivis.hammers@fm.gov.lv</w:t>
        </w:r>
      </w:hyperlink>
      <w:r>
        <w:t xml:space="preserve"> TM KANCELEJA </w:t>
      </w:r>
      <w:hyperlink r:id="rId6" w:history="1">
        <w:r>
          <w:rPr>
            <w:rStyle w:val="Hyperlink"/>
          </w:rPr>
          <w:t>pasts@tm.gov.lv</w:t>
        </w:r>
      </w:hyperlink>
      <w:r>
        <w:t xml:space="preserve"> Pasts </w:t>
      </w:r>
      <w:hyperlink r:id="rId7" w:history="1">
        <w:r>
          <w:rPr>
            <w:rStyle w:val="Hyperlink"/>
          </w:rPr>
          <w:t>Pasts@fm.gov.lv</w:t>
        </w:r>
      </w:hyperlink>
      <w:r>
        <w:t xml:space="preserve"> Baiba </w:t>
      </w:r>
      <w:proofErr w:type="spellStart"/>
      <w:r>
        <w:t>Lielkalne</w:t>
      </w:r>
      <w:proofErr w:type="spellEnd"/>
      <w:r>
        <w:t xml:space="preserve"> </w:t>
      </w:r>
      <w:hyperlink r:id="rId8" w:history="1">
        <w:r>
          <w:rPr>
            <w:rStyle w:val="Hyperlink"/>
          </w:rPr>
          <w:t>Baiba.Lielkalne@TM.GOV.LV</w:t>
        </w:r>
      </w:hyperlink>
      <w:r>
        <w:t xml:space="preserve"> </w:t>
      </w:r>
      <w:r w:rsidRPr="00833361">
        <w:t xml:space="preserve">Ilze Māliņa </w:t>
      </w:r>
      <w:hyperlink r:id="rId9" w:history="1">
        <w:r w:rsidRPr="00E235C0">
          <w:rPr>
            <w:rStyle w:val="Hyperlink"/>
          </w:rPr>
          <w:t>Ilze.Malina@TM.GOV.LV</w:t>
        </w:r>
      </w:hyperlink>
      <w:r>
        <w:t xml:space="preserve"> </w:t>
      </w:r>
    </w:p>
    <w:p w:rsidR="00833361" w:rsidRDefault="00833361" w:rsidP="00833361">
      <w:proofErr w:type="spellStart"/>
      <w:r>
        <w:t>Atb</w:t>
      </w:r>
      <w:proofErr w:type="spellEnd"/>
      <w:r>
        <w:t>.: "Ieguldījumu brokeru sabiedrību likums" likumprojektu pakete</w:t>
      </w:r>
    </w:p>
    <w:p w:rsidR="00D56BC6" w:rsidRDefault="00D56BC6"/>
    <w:p w:rsidR="00833361" w:rsidRDefault="00833361" w:rsidP="00833361">
      <w:pPr>
        <w:rPr>
          <w:color w:val="000000"/>
          <w:sz w:val="27"/>
          <w:szCs w:val="27"/>
        </w:rPr>
      </w:pPr>
      <w:r>
        <w:rPr>
          <w:color w:val="000000"/>
          <w:sz w:val="27"/>
          <w:szCs w:val="27"/>
        </w:rPr>
        <w:t>Labdien! </w:t>
      </w:r>
    </w:p>
    <w:p w:rsidR="00833361" w:rsidRDefault="00833361" w:rsidP="00833361">
      <w:pPr>
        <w:rPr>
          <w:color w:val="000000"/>
          <w:sz w:val="27"/>
          <w:szCs w:val="27"/>
        </w:rPr>
      </w:pPr>
      <w:r>
        <w:rPr>
          <w:color w:val="000000"/>
          <w:sz w:val="27"/>
          <w:szCs w:val="27"/>
        </w:rPr>
        <w:t> </w:t>
      </w:r>
    </w:p>
    <w:p w:rsidR="00833361" w:rsidRDefault="00833361" w:rsidP="00833361">
      <w:pPr>
        <w:ind w:firstLine="720"/>
        <w:jc w:val="both"/>
        <w:rPr>
          <w:color w:val="000000"/>
          <w:sz w:val="27"/>
          <w:szCs w:val="27"/>
        </w:rPr>
      </w:pPr>
      <w:r>
        <w:rPr>
          <w:color w:val="222222"/>
          <w:sz w:val="27"/>
          <w:szCs w:val="27"/>
        </w:rPr>
        <w:t>Tieslietu ministrija ir</w:t>
      </w:r>
      <w:r>
        <w:rPr>
          <w:rStyle w:val="apple-converted-space"/>
          <w:color w:val="222222"/>
          <w:sz w:val="27"/>
          <w:szCs w:val="27"/>
        </w:rPr>
        <w:t> </w:t>
      </w:r>
      <w:r>
        <w:rPr>
          <w:color w:val="222222"/>
          <w:sz w:val="27"/>
          <w:szCs w:val="27"/>
        </w:rPr>
        <w:t>izskatījusi Finanšu ministrijas sagatavoto precizēto likumprojektu</w:t>
      </w:r>
      <w:r>
        <w:rPr>
          <w:rStyle w:val="apple-converted-space"/>
          <w:color w:val="222222"/>
          <w:sz w:val="27"/>
          <w:szCs w:val="27"/>
        </w:rPr>
        <w:t> </w:t>
      </w:r>
      <w:r>
        <w:rPr>
          <w:color w:val="000000"/>
          <w:sz w:val="27"/>
          <w:szCs w:val="27"/>
        </w:rPr>
        <w:t>"Grozījumi Kredītiestāžu likumā"</w:t>
      </w:r>
      <w:r>
        <w:rPr>
          <w:rStyle w:val="apple-converted-space"/>
          <w:color w:val="000000"/>
          <w:sz w:val="27"/>
          <w:szCs w:val="27"/>
        </w:rPr>
        <w:t> </w:t>
      </w:r>
      <w:r>
        <w:rPr>
          <w:color w:val="222222"/>
          <w:sz w:val="27"/>
          <w:szCs w:val="27"/>
        </w:rPr>
        <w:t>un atbalsta tā tālāku virzību</w:t>
      </w:r>
      <w:r>
        <w:rPr>
          <w:color w:val="000000"/>
          <w:sz w:val="27"/>
          <w:szCs w:val="27"/>
          <w:bdr w:val="none" w:sz="0" w:space="0" w:color="auto" w:frame="1"/>
        </w:rPr>
        <w:t>, izsakot turpmāko iebildumu. </w:t>
      </w:r>
    </w:p>
    <w:p w:rsidR="00833361" w:rsidRDefault="00833361" w:rsidP="00833361">
      <w:pPr>
        <w:ind w:firstLine="720"/>
        <w:jc w:val="both"/>
        <w:rPr>
          <w:color w:val="000000"/>
          <w:sz w:val="27"/>
          <w:szCs w:val="27"/>
        </w:rPr>
      </w:pPr>
      <w:r>
        <w:rPr>
          <w:color w:val="000000"/>
          <w:sz w:val="27"/>
          <w:szCs w:val="27"/>
          <w:bdr w:val="none" w:sz="0" w:space="0" w:color="auto" w:frame="1"/>
        </w:rPr>
        <w:t> </w:t>
      </w:r>
    </w:p>
    <w:p w:rsidR="00833361" w:rsidRDefault="00833361" w:rsidP="00833361">
      <w:pPr>
        <w:ind w:firstLine="720"/>
        <w:jc w:val="both"/>
        <w:rPr>
          <w:color w:val="000000"/>
          <w:sz w:val="27"/>
          <w:szCs w:val="27"/>
        </w:rPr>
      </w:pPr>
      <w:r>
        <w:rPr>
          <w:color w:val="000000"/>
          <w:sz w:val="27"/>
          <w:szCs w:val="27"/>
        </w:rPr>
        <w:t>Norādām, ka Tieslietu ministrija kopumā neatbalsta sodoša rakstura sankciju piemērošanu administratīvajā procesā. Administratīvā procesa regulējums nav veidots, balstoties uz sodu un sodoša rakstura administratīvo sankciju piemērošanas procesam raksturīgajiem principiem. Tā pamatā ir pavisam atšķirīga veida tiesiskās attiecības valsts pārvaldē. Līdz ar to sankciju piemērošanas process nav pienācīgi noregulēts. Šobrīd ir pieņemts daudz atbilstošāks regulējums – Administratīvās atbildības likums. Gan no personas tiesību nodrošināšanas viedokļa, gan sistēmiski labāks risinājums ir iekļaut ar likumprojektu vai ar grozāmo likumu saistīto sodoša rakstura administratīvo sankciju piemērošanu administratīvā pārkāpuma procesa regulējumā. </w:t>
      </w:r>
      <w:r>
        <w:rPr>
          <w:rStyle w:val="apple-converted-space"/>
          <w:color w:val="000000"/>
          <w:sz w:val="27"/>
          <w:szCs w:val="27"/>
        </w:rPr>
        <w:t> </w:t>
      </w:r>
      <w:r>
        <w:rPr>
          <w:color w:val="000000"/>
          <w:sz w:val="27"/>
          <w:szCs w:val="27"/>
        </w:rPr>
        <w:t> </w:t>
      </w:r>
    </w:p>
    <w:p w:rsidR="00833361" w:rsidRDefault="00833361" w:rsidP="00833361">
      <w:pPr>
        <w:ind w:firstLine="720"/>
        <w:jc w:val="both"/>
        <w:rPr>
          <w:color w:val="000000"/>
          <w:sz w:val="27"/>
          <w:szCs w:val="27"/>
        </w:rPr>
      </w:pPr>
      <w:r>
        <w:rPr>
          <w:color w:val="000000"/>
          <w:sz w:val="27"/>
          <w:szCs w:val="27"/>
        </w:rPr>
        <w:t>Turklāt arī spēkā esošajā regulējumā nav skaidri nodalītas sodoša rakstura sankcijas un nav izveidots pienācīgs to piemērošanas process. </w:t>
      </w:r>
      <w:r>
        <w:rPr>
          <w:rStyle w:val="apple-converted-space"/>
          <w:color w:val="000000"/>
          <w:sz w:val="27"/>
          <w:szCs w:val="27"/>
        </w:rPr>
        <w:t> </w:t>
      </w:r>
      <w:r>
        <w:rPr>
          <w:color w:val="000000"/>
          <w:sz w:val="27"/>
          <w:szCs w:val="27"/>
        </w:rPr>
        <w:t> </w:t>
      </w:r>
    </w:p>
    <w:p w:rsidR="00833361" w:rsidRDefault="00833361" w:rsidP="00833361">
      <w:pPr>
        <w:ind w:firstLine="720"/>
        <w:jc w:val="both"/>
        <w:rPr>
          <w:color w:val="000000"/>
          <w:sz w:val="27"/>
          <w:szCs w:val="27"/>
        </w:rPr>
      </w:pPr>
      <w:r>
        <w:rPr>
          <w:color w:val="000000"/>
          <w:sz w:val="27"/>
          <w:szCs w:val="27"/>
        </w:rPr>
        <w:t>Ministru kabineta 2021. gada 11. marta sēdes protokola Nr. 25 36. § 5. punktā noteikts uzdevums Finanšu ministrijai sadarbībā ar Tieslietu ministriju līdz 2023. gada 1. janvārim sagatavot priekšlikumus par sodoša rakstura administratīvajām sankcijām un procesuālajām garantijām privātpersonām finanšu tirgu regulējošajos normatīvajos aktos, lai nošķirtu administratīvās atbildības un administratīvā procesa piemērošanu šajā jomā. Vēršam uzmanību uz to, ka minētais uzdevums ir attiecināms arī uz visiem šajā gadījumā grozītajiem likumiem. </w:t>
      </w:r>
      <w:r>
        <w:rPr>
          <w:rStyle w:val="apple-converted-space"/>
          <w:color w:val="000000"/>
          <w:sz w:val="27"/>
          <w:szCs w:val="27"/>
        </w:rPr>
        <w:t> </w:t>
      </w:r>
      <w:r>
        <w:rPr>
          <w:color w:val="000000"/>
          <w:sz w:val="27"/>
          <w:szCs w:val="27"/>
        </w:rPr>
        <w:t> </w:t>
      </w:r>
    </w:p>
    <w:p w:rsidR="00833361" w:rsidRDefault="00833361" w:rsidP="00833361">
      <w:pPr>
        <w:jc w:val="both"/>
        <w:rPr>
          <w:color w:val="000000"/>
          <w:sz w:val="27"/>
          <w:szCs w:val="27"/>
        </w:rPr>
      </w:pPr>
      <w:r>
        <w:rPr>
          <w:color w:val="000000"/>
          <w:sz w:val="27"/>
          <w:szCs w:val="27"/>
        </w:rPr>
        <w:t>Vienlaikus norādām uz to, ka projekta sākotnējās (</w:t>
      </w:r>
      <w:proofErr w:type="spellStart"/>
      <w:r>
        <w:rPr>
          <w:color w:val="000000"/>
          <w:sz w:val="27"/>
          <w:szCs w:val="27"/>
        </w:rPr>
        <w:t>ex-ante</w:t>
      </w:r>
      <w:proofErr w:type="spellEnd"/>
      <w:r>
        <w:rPr>
          <w:color w:val="000000"/>
          <w:sz w:val="27"/>
          <w:szCs w:val="27"/>
        </w:rPr>
        <w:t xml:space="preserve">) ietekmes novērtējuma ziņojuma (turpmāk – anotācija) I sadaļas 2. punktā </w:t>
      </w:r>
      <w:r>
        <w:rPr>
          <w:color w:val="000000"/>
          <w:sz w:val="27"/>
          <w:szCs w:val="27"/>
        </w:rPr>
        <w:lastRenderedPageBreak/>
        <w:t>nepieciešams norādīt pamatojumu projekta 5. pantā paredzētās sankcijas veida un apmēra izvēlei. Šobrīd tikai no anotācijas V sadaļas iespējams secināt, ka tādējādi tiek ieviestas attiecīgās Eiropas Savienības direktīvas prasības. Tomēr vēlams detalizētu informāciju par sankcijas veida un apmēra izvēli, konkrēti norādot Eiropas Savienības tiesību aktos ietvertās prasības, ietvert arī anotācijas I sadaļas 2. punktā. </w:t>
      </w:r>
      <w:r>
        <w:rPr>
          <w:rStyle w:val="apple-converted-space"/>
          <w:color w:val="000000"/>
          <w:sz w:val="27"/>
          <w:szCs w:val="27"/>
        </w:rPr>
        <w:t> </w:t>
      </w:r>
      <w:r>
        <w:rPr>
          <w:color w:val="000000"/>
          <w:sz w:val="27"/>
          <w:szCs w:val="27"/>
        </w:rPr>
        <w:t> </w:t>
      </w:r>
    </w:p>
    <w:p w:rsidR="00833361" w:rsidRDefault="00833361" w:rsidP="00833361">
      <w:pPr>
        <w:ind w:firstLine="720"/>
        <w:jc w:val="both"/>
        <w:rPr>
          <w:color w:val="000000"/>
          <w:sz w:val="27"/>
          <w:szCs w:val="27"/>
        </w:rPr>
      </w:pPr>
      <w:r>
        <w:rPr>
          <w:color w:val="000000"/>
          <w:sz w:val="27"/>
          <w:szCs w:val="27"/>
        </w:rPr>
        <w:t>Citi iepriekšējā Tieslietu ministrijas atzinumā un izziņā minētie jautājumi risināmi Ministru kabineta 2021. gada 11. marta sēdes protokola Nr. 25 36. § 5. punktā noteiktā uzdevuma ietvaros. </w:t>
      </w:r>
      <w:r>
        <w:rPr>
          <w:rStyle w:val="apple-converted-space"/>
          <w:color w:val="000000"/>
          <w:sz w:val="27"/>
          <w:szCs w:val="27"/>
        </w:rPr>
        <w:t> </w:t>
      </w:r>
      <w:r>
        <w:rPr>
          <w:color w:val="000000"/>
          <w:sz w:val="27"/>
          <w:szCs w:val="27"/>
        </w:rPr>
        <w:t> </w:t>
      </w:r>
    </w:p>
    <w:p w:rsidR="00833361" w:rsidRDefault="00833361" w:rsidP="00833361">
      <w:pPr>
        <w:ind w:firstLine="720"/>
        <w:jc w:val="both"/>
        <w:rPr>
          <w:color w:val="000000"/>
          <w:sz w:val="27"/>
          <w:szCs w:val="27"/>
        </w:rPr>
      </w:pPr>
      <w:r>
        <w:rPr>
          <w:color w:val="000000"/>
          <w:sz w:val="27"/>
          <w:szCs w:val="27"/>
        </w:rPr>
        <w:t> </w:t>
      </w:r>
    </w:p>
    <w:p w:rsidR="00833361" w:rsidRDefault="00833361" w:rsidP="00833361">
      <w:pPr>
        <w:jc w:val="both"/>
        <w:rPr>
          <w:color w:val="000000"/>
          <w:sz w:val="27"/>
          <w:szCs w:val="27"/>
        </w:rPr>
      </w:pPr>
      <w:r>
        <w:rPr>
          <w:color w:val="000000"/>
          <w:sz w:val="27"/>
          <w:szCs w:val="27"/>
        </w:rPr>
        <w:t>          Vienlaikus izsakām šādus priekšlikumus:  </w:t>
      </w:r>
    </w:p>
    <w:p w:rsidR="00833361" w:rsidRDefault="00833361" w:rsidP="00833361">
      <w:pPr>
        <w:jc w:val="both"/>
        <w:rPr>
          <w:color w:val="000000"/>
          <w:sz w:val="27"/>
          <w:szCs w:val="27"/>
        </w:rPr>
      </w:pPr>
      <w:r>
        <w:rPr>
          <w:color w:val="000000"/>
          <w:sz w:val="27"/>
          <w:szCs w:val="27"/>
        </w:rPr>
        <w:br/>
      </w:r>
    </w:p>
    <w:p w:rsidR="00833361" w:rsidRDefault="00833361" w:rsidP="00833361">
      <w:pPr>
        <w:jc w:val="both"/>
        <w:rPr>
          <w:color w:val="000000"/>
          <w:sz w:val="27"/>
          <w:szCs w:val="27"/>
        </w:rPr>
      </w:pPr>
      <w:r>
        <w:rPr>
          <w:color w:val="000000"/>
          <w:sz w:val="27"/>
          <w:szCs w:val="27"/>
        </w:rPr>
        <w:t>1. Vēršam uzmanību uz to, ka projekta 2. pantā paredzētajā Kredītiestāžu likuma (turpmāk – likums) 11.2 panta otrajā daļā ietvertā atsauce uz visu likumu ir pārāk plaša un līdz ar to neskaidra. Vienlaikus norādām uz to, ka Ministru kabineta 2009. gada 3. februāra noteikumu Nr. 108 "Normatīvo aktu projektu sagatavošanas noteikumi" 62. punkts noteic, ka likumprojektā neietver atsauces uz zemāka juridiskā spēka normatīvo aktu. Savukārt projekta 2. pantā paredzētajā likuma 11.2 panta otrajā daļā ir ietverta atsauce uz zemāka juridiskā spēka normatīvo aktu. Turklāt nav skaidrs, kādēļ nepieciešams projekta 2. pantā paredzētajā likuma 11.2 panta otrajā daļā ietvertais regulējums, jo tas ir deklaratīvs. Savukārt atbilstoši Ministru kabineta 2009. gada 3. februāra noteikumu Nr. 108 "Normatīvo aktu projektu sagatavošanas noteikumi" 3.1. apakšpunktā noteiktajam normatīvā akta projektā neietver normas, kas ir deklaratīvas. Ievērojot minēto, lūdzam izvērtēt iespēju izslēgt projekta 2. pantā paredzēto likuma 11.2 panta otro daļu. </w:t>
      </w:r>
      <w:r>
        <w:rPr>
          <w:rStyle w:val="apple-converted-space"/>
          <w:color w:val="000000"/>
          <w:sz w:val="27"/>
          <w:szCs w:val="27"/>
        </w:rPr>
        <w:t> </w:t>
      </w:r>
      <w:r>
        <w:rPr>
          <w:color w:val="000000"/>
          <w:sz w:val="27"/>
          <w:szCs w:val="27"/>
        </w:rPr>
        <w:t> </w:t>
      </w:r>
    </w:p>
    <w:p w:rsidR="00833361" w:rsidRDefault="00833361" w:rsidP="00833361">
      <w:pPr>
        <w:jc w:val="both"/>
        <w:rPr>
          <w:color w:val="000000"/>
          <w:sz w:val="27"/>
          <w:szCs w:val="27"/>
        </w:rPr>
      </w:pPr>
      <w:r>
        <w:rPr>
          <w:color w:val="000000"/>
          <w:sz w:val="27"/>
          <w:szCs w:val="27"/>
        </w:rPr>
        <w:br/>
      </w:r>
    </w:p>
    <w:p w:rsidR="00833361" w:rsidRDefault="00833361" w:rsidP="00833361">
      <w:pPr>
        <w:jc w:val="both"/>
        <w:rPr>
          <w:color w:val="000000"/>
          <w:sz w:val="27"/>
          <w:szCs w:val="27"/>
        </w:rPr>
      </w:pPr>
      <w:r>
        <w:rPr>
          <w:color w:val="000000"/>
          <w:sz w:val="27"/>
          <w:szCs w:val="27"/>
        </w:rPr>
        <w:t>2. Lūdzam precizēt anotācijas IV sadaļas 1. punktā ietverto informāciju, norādot, ka tajā minētajiem likumprojektiem ir jāstājas spēkā vienlaikus. </w:t>
      </w:r>
      <w:r>
        <w:rPr>
          <w:rStyle w:val="apple-converted-space"/>
          <w:color w:val="000000"/>
          <w:sz w:val="27"/>
          <w:szCs w:val="27"/>
        </w:rPr>
        <w:t> </w:t>
      </w:r>
      <w:r>
        <w:rPr>
          <w:color w:val="000000"/>
          <w:sz w:val="27"/>
          <w:szCs w:val="27"/>
        </w:rPr>
        <w:t> </w:t>
      </w:r>
    </w:p>
    <w:p w:rsidR="00833361" w:rsidRDefault="00833361" w:rsidP="00833361">
      <w:pPr>
        <w:rPr>
          <w:rFonts w:ascii="Calibri" w:eastAsia="Times New Roman" w:hAnsi="Calibri" w:cs="Calibri"/>
          <w:color w:val="000000"/>
          <w:sz w:val="24"/>
          <w:szCs w:val="24"/>
        </w:rPr>
      </w:pPr>
    </w:p>
    <w:p w:rsidR="00833361" w:rsidRDefault="00833361" w:rsidP="00833361">
      <w:pPr>
        <w:rPr>
          <w:rFonts w:ascii="Calibri" w:eastAsia="Times New Roman" w:hAnsi="Calibri" w:cs="Calibri"/>
          <w:color w:val="000000"/>
        </w:rPr>
      </w:pPr>
    </w:p>
    <w:p w:rsidR="00833361" w:rsidRDefault="00833361" w:rsidP="00833361">
      <w:pPr>
        <w:pStyle w:val="NormalWeb"/>
        <w:rPr>
          <w:rFonts w:ascii="Calibri" w:hAnsi="Calibri" w:cs="Calibri"/>
          <w:color w:val="201F1E"/>
          <w:sz w:val="22"/>
          <w:szCs w:val="22"/>
        </w:rPr>
      </w:pPr>
      <w:r>
        <w:rPr>
          <w:rFonts w:ascii="Arial" w:hAnsi="Arial" w:cs="Arial"/>
          <w:i/>
          <w:iCs/>
          <w:color w:val="201F1E"/>
          <w:sz w:val="20"/>
          <w:szCs w:val="20"/>
          <w:bdr w:val="none" w:sz="0" w:space="0" w:color="auto" w:frame="1"/>
          <w:shd w:val="clear" w:color="auto" w:fill="FFFFFF"/>
        </w:rPr>
        <w:t>Ar cieņu,</w:t>
      </w:r>
      <w:r>
        <w:rPr>
          <w:rFonts w:ascii="Tahoma" w:hAnsi="Tahoma" w:cs="Tahoma"/>
          <w:b/>
          <w:bCs/>
          <w:i/>
          <w:iCs/>
          <w:color w:val="201F1E"/>
          <w:sz w:val="20"/>
          <w:szCs w:val="20"/>
          <w:bdr w:val="none" w:sz="0" w:space="0" w:color="auto" w:frame="1"/>
        </w:rPr>
        <w:br/>
      </w:r>
      <w:r>
        <w:rPr>
          <w:rFonts w:ascii="Arial" w:hAnsi="Arial" w:cs="Arial"/>
          <w:b/>
          <w:bCs/>
          <w:i/>
          <w:iCs/>
          <w:color w:val="201F1E"/>
          <w:sz w:val="20"/>
          <w:szCs w:val="20"/>
          <w:bdr w:val="none" w:sz="0" w:space="0" w:color="auto" w:frame="1"/>
          <w:shd w:val="clear" w:color="auto" w:fill="FFFFFF"/>
        </w:rPr>
        <w:t> </w:t>
      </w:r>
      <w:r>
        <w:rPr>
          <w:rFonts w:ascii="Tahoma" w:hAnsi="Tahoma" w:cs="Tahoma"/>
          <w:b/>
          <w:bCs/>
          <w:i/>
          <w:iCs/>
          <w:color w:val="201F1E"/>
          <w:sz w:val="20"/>
          <w:szCs w:val="20"/>
          <w:bdr w:val="none" w:sz="0" w:space="0" w:color="auto" w:frame="1"/>
        </w:rPr>
        <w:br/>
      </w:r>
      <w:r>
        <w:rPr>
          <w:rFonts w:ascii="Arial" w:hAnsi="Arial" w:cs="Arial"/>
          <w:b/>
          <w:bCs/>
          <w:color w:val="201F1E"/>
          <w:sz w:val="20"/>
          <w:szCs w:val="20"/>
          <w:bdr w:val="none" w:sz="0" w:space="0" w:color="auto" w:frame="1"/>
          <w:shd w:val="clear" w:color="auto" w:fill="FFFFFF"/>
        </w:rPr>
        <w:lastRenderedPageBreak/>
        <w:t xml:space="preserve">Beāte </w:t>
      </w:r>
      <w:proofErr w:type="spellStart"/>
      <w:r>
        <w:rPr>
          <w:rFonts w:ascii="Arial" w:hAnsi="Arial" w:cs="Arial"/>
          <w:b/>
          <w:bCs/>
          <w:color w:val="201F1E"/>
          <w:sz w:val="20"/>
          <w:szCs w:val="20"/>
          <w:bdr w:val="none" w:sz="0" w:space="0" w:color="auto" w:frame="1"/>
          <w:shd w:val="clear" w:color="auto" w:fill="FFFFFF"/>
        </w:rPr>
        <w:t>Gusārova</w:t>
      </w:r>
      <w:proofErr w:type="spellEnd"/>
      <w:r>
        <w:rPr>
          <w:rFonts w:ascii="Tahoma" w:hAnsi="Tahoma" w:cs="Tahoma"/>
          <w:b/>
          <w:bCs/>
          <w:i/>
          <w:iCs/>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Tieslietu ministrijas</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Civiltiesību departamenta</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Komerctiesību nodaļas juriste</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Tālr. 67031734</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Atrašanās vieta: Raiņa bulvārī 15, Rīgā, LV-1050.</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Juridiskā adrese: Brīvības bulvārī 36, Rīgā, LV-1536.</w:t>
      </w:r>
    </w:p>
    <w:p w:rsidR="00833361" w:rsidRDefault="00833361" w:rsidP="00833361">
      <w:pPr>
        <w:pStyle w:val="NormalWeb"/>
        <w:rPr>
          <w:rFonts w:ascii="Calibri" w:hAnsi="Calibri" w:cs="Calibri"/>
          <w:color w:val="201F1E"/>
          <w:sz w:val="22"/>
          <w:szCs w:val="22"/>
        </w:rPr>
      </w:pPr>
      <w:r>
        <w:rPr>
          <w:rFonts w:ascii="Arial" w:hAnsi="Arial" w:cs="Arial"/>
          <w:b/>
          <w:bCs/>
          <w:i/>
          <w:iCs/>
          <w:color w:val="201F1E"/>
          <w:sz w:val="4"/>
          <w:szCs w:val="4"/>
          <w:bdr w:val="none" w:sz="0" w:space="0" w:color="auto" w:frame="1"/>
          <w:shd w:val="clear" w:color="auto" w:fill="FFFFFF"/>
        </w:rPr>
        <w:t> </w:t>
      </w:r>
    </w:p>
    <w:p w:rsidR="00833361" w:rsidRDefault="00833361" w:rsidP="00833361">
      <w:pPr>
        <w:pStyle w:val="NormalWeb"/>
        <w:rPr>
          <w:rFonts w:ascii="Calibri" w:hAnsi="Calibri" w:cs="Calibri"/>
          <w:color w:val="201F1E"/>
          <w:sz w:val="22"/>
          <w:szCs w:val="22"/>
        </w:rPr>
      </w:pPr>
      <w:r>
        <w:rPr>
          <w:rFonts w:ascii="Arial" w:hAnsi="Arial" w:cs="Arial"/>
          <w:b/>
          <w:bCs/>
          <w:i/>
          <w:iCs/>
          <w:noProof/>
          <w:color w:val="002060"/>
          <w:sz w:val="20"/>
          <w:szCs w:val="20"/>
          <w:bdr w:val="none" w:sz="0" w:space="0" w:color="auto" w:frame="1"/>
        </w:rPr>
        <w:drawing>
          <wp:inline distT="0" distB="0" distL="0" distR="0">
            <wp:extent cx="1257300" cy="990600"/>
            <wp:effectExtent l="0" t="0" r="0" b="0"/>
            <wp:docPr id="1" name="Picture 1" descr="cid:eb7bc142-f31f-4e7b-ae5f-7c591534ad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eb7bc142-f31f-4e7b-ae5f-7c591534ad88"/>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rsidR="00833361" w:rsidRDefault="00833361"/>
    <w:sectPr w:rsidR="0083336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361"/>
    <w:rsid w:val="00833361"/>
    <w:rsid w:val="00AF6B16"/>
    <w:rsid w:val="00D56B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A7826"/>
  <w15:chartTrackingRefBased/>
  <w15:docId w15:val="{8A26563C-150C-4FB2-9023-157CF5A7D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36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3361"/>
    <w:rPr>
      <w:color w:val="0563C1" w:themeColor="hyperlink"/>
      <w:u w:val="single"/>
    </w:rPr>
  </w:style>
  <w:style w:type="paragraph" w:styleId="NormalWeb">
    <w:name w:val="Normal (Web)"/>
    <w:basedOn w:val="Normal"/>
    <w:uiPriority w:val="99"/>
    <w:semiHidden/>
    <w:unhideWhenUsed/>
    <w:rsid w:val="00833361"/>
    <w:pPr>
      <w:spacing w:after="0" w:line="240" w:lineRule="auto"/>
    </w:pPr>
    <w:rPr>
      <w:rFonts w:ascii="Times New Roman" w:hAnsi="Times New Roman" w:cs="Times New Roman"/>
      <w:sz w:val="24"/>
      <w:szCs w:val="24"/>
      <w:lang w:eastAsia="lv-LV"/>
    </w:rPr>
  </w:style>
  <w:style w:type="character" w:customStyle="1" w:styleId="apple-converted-space">
    <w:name w:val="apple-converted-space"/>
    <w:basedOn w:val="DefaultParagraphFont"/>
    <w:rsid w:val="00833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860933">
      <w:bodyDiv w:val="1"/>
      <w:marLeft w:val="0"/>
      <w:marRight w:val="0"/>
      <w:marTop w:val="0"/>
      <w:marBottom w:val="0"/>
      <w:divBdr>
        <w:top w:val="none" w:sz="0" w:space="0" w:color="auto"/>
        <w:left w:val="none" w:sz="0" w:space="0" w:color="auto"/>
        <w:bottom w:val="none" w:sz="0" w:space="0" w:color="auto"/>
        <w:right w:val="none" w:sz="0" w:space="0" w:color="auto"/>
      </w:divBdr>
    </w:div>
    <w:div w:id="201013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ba.Lielkalne@TM.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asts@fm.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tm.gov.lv" TargetMode="External"/><Relationship Id="rId11" Type="http://schemas.openxmlformats.org/officeDocument/2006/relationships/image" Target="cid:eb7bc142-f31f-4e7b-ae5f-7c591534ad88" TargetMode="External"/><Relationship Id="rId5" Type="http://schemas.openxmlformats.org/officeDocument/2006/relationships/hyperlink" Target="mailto:aivis.hammers@fm.gov.lv" TargetMode="External"/><Relationship Id="rId10" Type="http://schemas.openxmlformats.org/officeDocument/2006/relationships/image" Target="media/image1.png"/><Relationship Id="rId4" Type="http://schemas.openxmlformats.org/officeDocument/2006/relationships/hyperlink" Target="mailto:Beate.Gusarova@tm.gov.lv" TargetMode="External"/><Relationship Id="rId9" Type="http://schemas.openxmlformats.org/officeDocument/2006/relationships/hyperlink" Target="mailto:Ilze.Malina@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2803</Words>
  <Characters>1598</Characters>
  <Application>Microsoft Office Word</Application>
  <DocSecurity>0</DocSecurity>
  <Lines>13</Lines>
  <Paragraphs>8</Paragraphs>
  <ScaleCrop>false</ScaleCrop>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Hammers</dc:creator>
  <cp:keywords/>
  <dc:description/>
  <cp:lastModifiedBy>Aivis Hammers</cp:lastModifiedBy>
  <cp:revision>2</cp:revision>
  <dcterms:created xsi:type="dcterms:W3CDTF">2021-05-12T07:08:00Z</dcterms:created>
  <dcterms:modified xsi:type="dcterms:W3CDTF">2021-08-15T18:45:00Z</dcterms:modified>
</cp:coreProperties>
</file>