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vai MK noteikumu projekta grozījumi nav uzskatāmi par būtiskiem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Centrālo finanšu un līgumu aģentūru un finansējuma saņēmēju, ņemot vērā, ka pagarinot termiņu palielināsies slogs ne tikai īstenojot projektu, bet arī sadarbības iestādei, veicot projekta īstenošanas uzraudzību, kas pārsniedz Eiropas Parlamenta un Padomes 2013. gada 17.decembra Regulā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noteikto izdevumu attiecināmības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2</w:t>
            </w:r>
            <w:r w:rsidR="00000000" w:rsidRPr="00000000" w:rsidDel="00000000">
              <w:rPr>
                <w:rtl w:val="0"/>
              </w:rPr>
              <w:t xml:space="preserve"> Ja tiek konstatēts, ka ir pārkāptas Komisijas regulas Nr. 651/2014, Komisijas regulas Nr. 1388/2014 vai Komisijas regulas Nr. 702/2014 prasības, sadarbības iestāde finansējuma saņēmējam uzliek par pienākumu atmaksāt sadarbības iestādei saņemto nelikumīgo valsts atbalstu, savukārt, ja tiek konstatēts, ka ir pārkāptas Komisijas regulas Nr. 1407/2013, Komisijas regulas Nr. 717/2014 vai Komisijas regulas Nr. 1408/2013 prasības, sadarbības iestāde finansējuma saņēmējam uzliek par pienākumu atmaksāt sadarbības iestādei visu saņemto valsts atbalstu. Atbalstu atmaksā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valsts atbalsts tika izmaksāts atbalsta saņēmējam (finansējuma saņēmējam vai sadarbības partnerim), līdz tā atgūšanas dienai, ievērojot Komisijas regulas  </w:t>
            </w:r>
            <w:r w:rsidR="00000000" w:rsidRPr="00000000" w:rsidDel="00000000">
              <w:rPr>
                <w:rtl w:val="0"/>
              </w:rPr>
              <w:t xml:space="preserve">794/2004</w:t>
            </w:r>
            <w:r w:rsidR="00000000" w:rsidRPr="00000000" w:rsidDel="00000000">
              <w:rPr>
                <w:rtl w:val="0"/>
              </w:rPr>
              <w:t xml:space="preserve"> 11. pantā noteikto procentu likmes piemērošanas metodi. Atmaksa veicama no finansējuma saņēmēja privātā finansējuma, par kuru nav saņemts nekāds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Komercdarbības atbalsta kontroles likumā, kas nosaka nelikumīga komercdarbības atbalsta atgūšanu, lūdzam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Komisijas regulas Nr. 1388/2014 vai Komisijas regulas Nr. 702/2014 prasībām, sadarbības iestāde finansējuma saņēmējam uzliek par pienākumu atmaksāt sadarbības iestādei projekta ietvaros saņemto nelikumīgo komercdarbības atbalstu kopā ar procentiem no līdzekļiem, kas ir brīvi no komercdarbības atbalsta, atbilstoši Komercdarbības atbalsta kontroles likuma IV vai V nodaļas nosacījumiem. Savukārt, ja tiek pārkāptas šajos noteikumos noteiktās komercdarbības atbalsta kontroles normas, tostarp nosacījumi, kas izriet no Komisijas regulas Nr. 1407/2013, Komisijas regulas Nr. 717/2014 vai Komisijas regulas Nr. 1408/2013 prasībām, sadarbības iestāde finansējuma saņēmējam uzliek par pienākumu atmaksāt sadarbības iestādei visu saņemto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1.3.apakšsadaļas apakšnodaļā "Pašreizējā situācija" un arī turpmāk aizstāt tekstu "Eiropas Savienības fondu 2014.-2020.gada plānošanas perioda" ar tekstu "Eiropas Savienības struktūrfondu un Kohēzijas fonda 2014.–2020. 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vai rādītāju sasniegšanas termiņa pagarinājuma iespēja attiecas arī uz jau pabeigtajiem projektiem, kuru rādītāju sasniegšanu nav ietekmējušas kara Ukrainā sekas, bet rādītāju nesasniegšanai 3 gadu periodā ir bijuši citi iemesli, piemēram, covid-19 vai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Laula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MK noteikumu projekta ietekmi uz īstenošanā esošajiem projektiem, tai skaitā, vai būs nepieciešami grozījumi noslēgtajos līgumos /vienošanās.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27.12.2022.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27.12.2022.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Atzinumi_22-TA-3464.docx</dc:title>
</cp:coreProperties>
</file>

<file path=docProps/custom.xml><?xml version="1.0" encoding="utf-8"?>
<Properties xmlns="http://schemas.openxmlformats.org/officeDocument/2006/custom-properties" xmlns:vt="http://schemas.openxmlformats.org/officeDocument/2006/docPropsVTypes"/>
</file>