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pamatojums MK noteikumu grozījumiem ir norādīts, ka grozījumi tiek veikti, lai nodrošinātu tiesisko skaidrību un noteikt kārtību attiecībā uz finansējuma attiecināšanu pēc 2025.gada augusta. Savukārt 02.01.2024. starp EM, FM, EDIC un CFLA pārstāvjiem notikušajā sanāksmē tika skaidrots, ka tiek mainīti nosacījumi “Digitālās Eiropas” projektā, tāpēc nepieciešams izkļaut no Atveseļošanas fonda finansētā projekta konkrētās aktivitātes (darbības). Lūdzam papildināt anotāciju ar izveidojušos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MK noteikumos un anotācijā norādītās rādītāju redakcijas ar apstiprinātajiem Padomes īstenošanas lēmuma (CID)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jaunā izmaksu dalījuma pieeja pirms MK noteikumu projekta apstiprināšanas MK jāsaskaņo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sadarbībā ar Eiropas digitālās inovācijas centru veiktā sākotnējā un otrreizējā digitālā brieduma testa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šim brīdim šāda veida darbība un izmaksas ir radušās, iekļautas progresa pārskatos, lūdzam anotācijā skaidri norādīt no kura brīža šāda veida izmaksas izslēdzamas, t.sk. papildināt ar izvērtējumu kādu ietekmi tas radīs attiecībā uz Eiropas digitālās inovācijas centru jau veiktajiem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vertAlign w:val="superscript"/>
                <w:rtl w:val="0"/>
              </w:rPr>
              <w:t xml:space="preserve">3</w:t>
            </w:r>
            <w:r w:rsidR="00000000" w:rsidRPr="00000000" w:rsidDel="00000000">
              <w:rPr>
                <w:rtl w:val="0"/>
              </w:rPr>
              <w:t xml:space="preserve">Eiropas digitālās inovācijas centrs nepagarina noslēgto līgumu ar Eiropas Komisiju programmas “Digitālā Eiropa” ietvaros atbilstoši Atveseļošanas fonda īstenošanas periodam, tad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minēto izmaksu segšanai Centrālā finanšu un līgumu aģentūra sniedz saskaņā ar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 (turpmāk – Komisijas regula Nr. 2023/2831), un tas ir uzskatāms par komercdarbības atbalstu Eiropas digitālās inovācijas centra kā inovācijas kopas dalībniekiem. </w:t>
            </w:r>
            <w:r w:rsidR="00000000" w:rsidRPr="00000000" w:rsidDel="00000000">
              <w:rPr>
                <w:i w:val="1"/>
                <w:rtl w:val="0"/>
              </w:rPr>
              <w:t xml:space="preserve">De minimis</w:t>
            </w:r>
            <w:r w:rsidR="00000000" w:rsidRPr="00000000" w:rsidDel="00000000">
              <w:rPr>
                <w:rtl w:val="0"/>
              </w:rPr>
              <w:t xml:space="preserve"> atbalsts piešķirams Eiropas digitālās inovācijas centra dalībniekiem pēc līguma ar Eiropas Komisiju par programmas “Digitālā Eiropa” finansējuma piešķiršanu beigām, bet ne ātrāk kā ar 2023. gada 1. 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regulu Nr. 2023/2831 var piemērot no 2024.gada 1.janvāra, lūdzam precizēt 34.</w:t>
            </w:r>
            <w:r w:rsidR="00000000" w:rsidRPr="00000000" w:rsidDel="00000000">
              <w:rPr>
                <w:vertAlign w:val="superscript"/>
                <w:rtl w:val="0"/>
              </w:rPr>
              <w:t xml:space="preserve">2.</w:t>
            </w:r>
            <w:r w:rsidR="00000000" w:rsidRPr="00000000" w:rsidDel="00000000">
              <w:rPr>
                <w:rtl w:val="0"/>
              </w:rPr>
              <w:t xml:space="preserve"> punkta 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Komisijas regulas Nr. </w:t>
            </w:r>
            <w:r w:rsidR="00000000" w:rsidRPr="00000000" w:rsidDel="00000000">
              <w:rPr>
                <w:rtl w:val="0"/>
              </w:rPr>
              <w:t xml:space="preserve">2023/2831</w:t>
            </w:r>
            <w:r w:rsidR="00000000" w:rsidRPr="00000000" w:rsidDel="00000000">
              <w:rPr>
                <w:rtl w:val="0"/>
              </w:rPr>
              <w:t xml:space="preserve"> 1. panta 1. un 2. punktā un 3. panta 2. punktā noteiktajās neatbalstāmajās nozarēs un darbībās un pretendē uz atbalstu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atsauci uz Komisijas regulas Nr. 2023/2831 1. panta 2. punktu un 3. panta 2. punktu, jo tajā netiek noteiktas neatbalstāmās nozares un darbības, bet izmaksu nošķiršana un de minimis limits.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vai 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w:t>
            </w:r>
            <w:r w:rsidR="00000000" w:rsidRPr="00000000" w:rsidDel="00000000">
              <w:rPr>
                <w:rtl w:val="0"/>
              </w:rPr>
              <w:t xml:space="preserve">2023/2831</w:t>
            </w:r>
            <w:r w:rsidR="00000000" w:rsidRPr="00000000" w:rsidDel="00000000">
              <w:rPr>
                <w:rtl w:val="0"/>
              </w:rPr>
              <w:t xml:space="preserve"> 3. panta 2. punktā vai Komisijas regulas Nr. </w:t>
            </w:r>
            <w:r w:rsidR="00000000" w:rsidRPr="00000000" w:rsidDel="00000000">
              <w:rPr>
                <w:rtl w:val="0"/>
              </w:rPr>
              <w:t xml:space="preserve">1408/2013</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w:t>
            </w:r>
            <w:r w:rsidR="00000000" w:rsidRPr="00000000" w:rsidDel="00000000">
              <w:rPr>
                <w:i w:val="1"/>
                <w:rtl w:val="0"/>
              </w:rPr>
              <w:t xml:space="preserve">De minimis</w:t>
            </w:r>
            <w:r w:rsidR="00000000" w:rsidRPr="00000000" w:rsidDel="00000000">
              <w:rPr>
                <w:rtl w:val="0"/>
              </w:rPr>
              <w:t xml:space="preserve"> atbalsta apmērs tiek vērtēts viena vienota komersanta līmenī atbilstoši Komisijas regulas Nr. </w:t>
            </w:r>
            <w:r w:rsidR="00000000" w:rsidRPr="00000000" w:rsidDel="00000000">
              <w:rPr>
                <w:rtl w:val="0"/>
              </w:rPr>
              <w:t xml:space="preserve">2023/2831</w:t>
            </w:r>
            <w:r w:rsidR="00000000" w:rsidRPr="00000000" w:rsidDel="00000000">
              <w:rPr>
                <w:rtl w:val="0"/>
              </w:rPr>
              <w:t xml:space="preserve"> 2. panta 2. punktā vai Komisijas regulas Nr. </w:t>
            </w:r>
            <w:r w:rsidR="00000000" w:rsidRPr="00000000" w:rsidDel="00000000">
              <w:rPr>
                <w:rtl w:val="0"/>
              </w:rPr>
              <w:t xml:space="preserve">1408/2013</w:t>
            </w:r>
            <w:r w:rsidR="00000000" w:rsidRPr="00000000" w:rsidDel="00000000">
              <w:rPr>
                <w:rtl w:val="0"/>
              </w:rPr>
              <w:t xml:space="preserve">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regulas Nr. 2023/2831 "Trīs gadu laikposms šīs regulas vajadzībām būtu jāvērtē kā slīdošs periods. Attiecībā uz katru jaunu de minimis atbalsta piešķiršanu jāņem vērā de minimis atbalsta kopsumma, kas piešķirta iepriekšējos trīs gados." (preambulas 11.apsvērums). Attiecīgi lūdzam lietot Komisijas regulas Nr. 2023/2831 3. panta 2. punktā lietoto formulējumu, piemēram, de minimis kopsummu ir jāpārbauda trīs gadu periodā skaitot no de minimis atbalsta piešķiršanas lēmuma pieņemšanas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lūdzam precizēt arī noteikumu projekta 61.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nosacījumus par Komisijas regulas Nr. 2023/2831 un Komisijas regulas Nr. 1408/2013 nosacījumiem neapvienot vienā teikumā, bet izdalīt atsevišķi, jo attiecīgajām regulām atbalsta limita noteikšanai ir jāpiemēro dažādi trīs gadu periodi.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saskaņā ar Komisijas regulas Nr. </w:t>
            </w:r>
            <w:r w:rsidR="00000000" w:rsidRPr="00000000" w:rsidDel="00000000">
              <w:rPr>
                <w:rtl w:val="0"/>
              </w:rPr>
              <w:t xml:space="preserve">2023/2831</w:t>
            </w:r>
            <w:r w:rsidR="00000000" w:rsidRPr="00000000" w:rsidDel="00000000">
              <w:rPr>
                <w:rtl w:val="0"/>
              </w:rPr>
              <w:t xml:space="preserve"> 7. panta 4. punktu un 8. pantu – līdz 2024.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korektu Komisijas regulas Nr. 2023/2831 darbības termiņu atbilstoši  Komisijas regulas Nr. 2023/2831 7. panta 3. punktam un 8. pantam. Vienlaikus, ja tas, ka atbalstu nevar piešķirt vēlāk kā 2024.gada 30.jūnijā, ir programmas nosacījums, tad lūdzam atbilstoši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7.sadaļā "Veikti precizējumi sakarā ar attiecināmo darbību, izmaksu pārskatīšanu programmas “Digitālā Eiropa” un Atveseļošanas fonda ietvaros" noteiktajam jaunajam mērķis - līdz 2026. gada 30. jūnijam pabeigtas darba pakas, [...] - lūdzam anotāciju papildināt norādot, mērķa pamatojošo dokumentu. Papildus vēršam uzmanību, ka šobrīd esošajos projektos darbības nav sadalītas pēc darba pakām, līdz ar to nav skaidri saprotams kādā veidā gūstama pārliecība par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nacionālais rādītājs – līdz 2026. gada 30. jūnijam Eiropas digitālās inovācijas centra izsniegto digitālās attīstības ceļa karšu skaits – 3500.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uzturams nacionālais rādītājs – ceļa kartes 3500 apjomā. Ņemot vērā šā brīža rādītāju sasniegšanas progresu projektos, CFLA saskata risku šāda rādītāja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uz gala labuma guvēju, izņemot šo noteikumu </w:t>
            </w:r>
            <w:r w:rsidR="00000000" w:rsidRPr="00000000" w:rsidDel="00000000">
              <w:rPr>
                <w:rtl w:val="0"/>
              </w:rPr>
              <w:t xml:space="preserve">49.1.3.</w:t>
            </w:r>
            <w:r w:rsidR="00000000" w:rsidRPr="00000000" w:rsidDel="00000000">
              <w:rPr>
                <w:rtl w:val="0"/>
              </w:rPr>
              <w:t xml:space="preserve"> apakšpunktu, nav attiecināmi šādi izslēgšanas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49.4. apakšpunktā noteiktos izslēgšanas kritērijus atbilstoši Eiropas Savienības fondu 2021.-2027. gada plānošanas perioda vadības likuma (turpmāk - Vadības likums) 22. pantam, ņemot vērā, ka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Finanšu regula), 136. pantā noteiktie izslēgšanas kritēriji ir nacionāli pārņemti Vadības likuma 22. pantā, un Atveseļošanas un noturības mehānisma ietvaros izslēgšanas kritēriji tiek piemēroti analoģiski kā Eiropas Savienības fondu 2021.—2027. gada plānošanas perioda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uz gala labuma guvēju, izņemot šo noteikumu </w:t>
            </w:r>
            <w:r w:rsidR="00000000" w:rsidRPr="00000000" w:rsidDel="00000000">
              <w:rPr>
                <w:rtl w:val="0"/>
              </w:rPr>
              <w:t xml:space="preserve">49.1.3.</w:t>
            </w:r>
            <w:r w:rsidR="00000000" w:rsidRPr="00000000" w:rsidDel="00000000">
              <w:rPr>
                <w:rtl w:val="0"/>
              </w:rPr>
              <w:t xml:space="preserve"> apakšpunktu, nav attiecināmi šādi izslēgšanas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49.4. apakšpunktu, lai nodrošinātu vienlīdzīgu pieeju visiem gala labuma guvējiem. Skaidrojam, ka atbilstoši Eiropas Komisijas nosacījumiem, lai aizsargātu Eiropas Savienības finanšu intereses, no atlases tiek izslēgti gala labuma guvēji, ja tie atbilst kādam no Finanšu regulas 136. pantā noteiktajiem izslēgšanas kritērijiem. Lai nodrošinātu attiecīgā nosacījuma ievērošanu, Ministru kabineta noteikumos par investīcijas īstenošanu ir jāiekļauj nosacījums, ka gala labuma guvējs tiek pārbaudīts atbilstoši Finanšu regulā noteiktajiem izslēgšanas kritērijiem. Attiecīgi, nosacījums ir obligāts. Finanšu regulā ietvertie izslēgšanas kritēriji </w:t>
            </w:r>
            <w:r w:rsidR="00000000" w:rsidRPr="00000000" w:rsidDel="00000000">
              <w:rPr>
                <w:u w:val="single"/>
                <w:rtl w:val="0"/>
              </w:rPr>
              <w:t xml:space="preserve">attiecas uz visām personām neatkarīgi no juridiskās formas.</w:t>
            </w:r>
            <w:r w:rsidR="00000000" w:rsidRPr="00000000" w:rsidDel="00000000">
              <w:rPr>
                <w:rtl w:val="0"/>
              </w:rPr>
              <w:t xml:space="preserve"> Uz publisko tiesību subjektiem attiecīgie kritēriji pēc būtības nevarētu tikt attiecināti, ņemot vērā objektīvi pamatotu risku neesamību šajā jomā, kā arī mērķtiecīgi īstenojot minētās pārbaudes attiecībā uz tiem subjektiem un to kopu, kur šie riski ir padziļināti pārbaudāmi (privātais sektors). Lai izsekojami pierādītu Eiropas Komisijas prasību izpildi, aicinām, vērtējot publiskā sektora gala labuma guvējus, piemēram, protokolā ietvert piezīmi, ka, ņemot vērā personas juridisko statusu, Finanšu regulā noteiktos izslēgšanas kritērijus nav nepieciešams pārbaudīt.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Atbalstu šo noteikumu </w:t>
            </w:r>
            <w:r w:rsidR="00000000" w:rsidRPr="00000000" w:rsidDel="00000000">
              <w:rPr>
                <w:rtl w:val="0"/>
              </w:rPr>
              <w:t xml:space="preserve">32.</w:t>
            </w:r>
            <w:r w:rsidR="00000000" w:rsidRPr="00000000" w:rsidDel="00000000">
              <w:rPr>
                <w:rtl w:val="0"/>
              </w:rPr>
              <w:t xml:space="preserve"> punktā</w:t>
            </w:r>
            <w:r w:rsidR="00000000" w:rsidRPr="00000000" w:rsidDel="00000000">
              <w:rPr>
                <w:rtl w:val="0"/>
              </w:rPr>
              <w:t xml:space="preserve"> minēto Eiropas digitālās inovācijas centra sniegto pakalpojumu izmaksu segšanai sniedz Eiropas digitālās inovācijas centrs gala labuma guvējam saskaņā ar Komisijas regulu Nr. </w:t>
            </w:r>
            <w:r w:rsidR="00000000" w:rsidRPr="00000000" w:rsidDel="00000000">
              <w:rPr>
                <w:rtl w:val="0"/>
              </w:rPr>
              <w:t xml:space="preserve">2023/2831</w:t>
            </w:r>
            <w:r w:rsidR="00000000" w:rsidRPr="00000000" w:rsidDel="00000000">
              <w:rPr>
                <w:rtl w:val="0"/>
              </w:rPr>
              <w:t xml:space="preserve"> vai Eiropas Komisijas 2013. gada 18. decembra Regulu ES Nr. </w:t>
            </w:r>
            <w:r w:rsidR="00000000" w:rsidRPr="00000000" w:rsidDel="00000000">
              <w:rPr>
                <w:rtl w:val="0"/>
              </w:rPr>
              <w:t xml:space="preserve">1408/2013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352/9) (turpmāk – Komisijas regula Nr. 1408/2013)</w:t>
            </w:r>
            <w:r w:rsidR="00000000" w:rsidRPr="00000000" w:rsidDel="00000000">
              <w:rPr>
                <w:rtl w:val="0"/>
              </w:rPr>
              <w:t xml:space="preserve">​</w:t>
            </w:r>
            <w:r w:rsidR="00000000" w:rsidRPr="00000000" w:rsidDel="00000000">
              <w:rPr>
                <w:rtl w:val="0"/>
              </w:rPr>
              <w:t xml:space="preserve">, un tas ir uzskatāms par komercdarbības atbalstu gala labuma guvējam.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atbalsts saskaņā ar regulu Nr.1407/2013 šīs investīcijas ietvaros tika sniegts 2023.gadā, kā arī atbilstoši regulas 1407/2013 7.panta 4.punktam tās darbība turpinās līdz 30.06.2024., lūdzam nodrošināt, ka no šīs investīcijas netiek dzēsta regula Nr.1407/2023, realizējot to vienā no viediem: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atstāt regulu Nr.1407/2023 šīs investīcijas noteikumos, tik paralēli ievietot jauno de minimis regulu Nr.2023/2831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pievienot Pārejas noteikumu punktu, kurā tiek norādīts, ka šīs investīcijas ietvaros tiek pieškirts de minimis atbalsts atbilstoši regulai Nr.1407/2013 tās piemērošanas periodā, kas noteikts regulas Nr.1407/2013 8.pantā un 7.panta 4.punktā.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gala labuma guvējs nodrošina piekļuvi informācijai 10 gadus, skaitot no komercdarbības atbalsta piešķiršanas brīža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2023/2831 6. panta 3. punkts paredz glabāt 10 gadus tikai reģistrēto informāciju, kas noteikta Komisijas regulas Nr. 2023/2831 6. panta 1. punktā, kā arī neparedz atbalsta sniedzējam un atbalsta saņēmējam glabāt informāciju 10 gadus no pēdējā komercdarbības atbalsta piešķiršanas brīža. Attiecīgi aicinām izvērtēt, vai tiek plānots noteikumos atstāt stingrākas prasības attiecībā uz de minimis atbalstu, nekā to prasa Komisijas regulas Nr. 2023/2831, un nepieciešamības gadījumā papildināt ar informāciju anotācijas 5.tabulu par stingrāku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lūdzam pārskatīt arī noteikumu 73.4.punktu.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09.01.2024.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09.01.2024.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